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7796CBC"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5402C7" w:rsidRPr="009977DA">
        <w:rPr>
          <w:bCs/>
          <w:noProof w:val="0"/>
          <w:sz w:val="24"/>
          <w:szCs w:val="24"/>
          <w:lang w:val="de-DE"/>
        </w:rPr>
        <w:t>11</w:t>
      </w:r>
      <w:r w:rsidR="008B4F75">
        <w:rPr>
          <w:bCs/>
          <w:noProof w:val="0"/>
          <w:sz w:val="24"/>
          <w:szCs w:val="24"/>
          <w:lang w:val="de-DE"/>
        </w:rPr>
        <w:t>1</w:t>
      </w:r>
      <w:r w:rsidR="001348FE" w:rsidRPr="009977DA">
        <w:rPr>
          <w:bCs/>
          <w:noProof w:val="0"/>
          <w:sz w:val="24"/>
          <w:szCs w:val="24"/>
          <w:lang w:val="de-DE"/>
        </w:rPr>
        <w:tab/>
      </w:r>
      <w:r w:rsidR="00E1235E" w:rsidRPr="009977DA">
        <w:rPr>
          <w:sz w:val="24"/>
          <w:szCs w:val="24"/>
          <w:lang w:val="de-DE"/>
        </w:rPr>
        <w:t>R</w:t>
      </w:r>
      <w:r w:rsidR="00E1235E">
        <w:rPr>
          <w:sz w:val="24"/>
          <w:szCs w:val="24"/>
          <w:lang w:val="de-DE"/>
        </w:rPr>
        <w:t>4</w:t>
      </w:r>
      <w:r w:rsidR="00E1235E" w:rsidRPr="009977DA">
        <w:rPr>
          <w:sz w:val="24"/>
          <w:szCs w:val="24"/>
          <w:lang w:val="de-DE"/>
        </w:rPr>
        <w:t>-</w:t>
      </w:r>
      <w:r w:rsidR="00E1235E" w:rsidRPr="00E1235E">
        <w:rPr>
          <w:bCs/>
          <w:noProof w:val="0"/>
          <w:sz w:val="24"/>
          <w:szCs w:val="24"/>
          <w:lang w:val="de-DE"/>
        </w:rPr>
        <w:t>240</w:t>
      </w:r>
      <w:r w:rsidR="00D060AD">
        <w:rPr>
          <w:bCs/>
          <w:noProof w:val="0"/>
          <w:sz w:val="24"/>
          <w:szCs w:val="24"/>
          <w:lang w:val="de-DE"/>
        </w:rPr>
        <w:t>9412</w:t>
      </w:r>
    </w:p>
    <w:p w14:paraId="2CFE1919" w14:textId="5147327B" w:rsidR="00850D96" w:rsidRPr="00850D96" w:rsidRDefault="008B4F75" w:rsidP="00CA26CE">
      <w:pPr>
        <w:pStyle w:val="Header"/>
        <w:rPr>
          <w:bCs/>
          <w:noProof w:val="0"/>
          <w:sz w:val="24"/>
          <w:lang w:val="en-GB" w:eastAsia="ja-JP"/>
        </w:rPr>
      </w:pPr>
      <w:r>
        <w:rPr>
          <w:bCs/>
          <w:noProof w:val="0"/>
          <w:sz w:val="24"/>
          <w:szCs w:val="24"/>
        </w:rPr>
        <w:t>Fukuoka</w:t>
      </w:r>
      <w:r w:rsidR="007D1104" w:rsidRPr="007D1104">
        <w:rPr>
          <w:bCs/>
          <w:noProof w:val="0"/>
          <w:sz w:val="24"/>
          <w:szCs w:val="24"/>
        </w:rPr>
        <w:t xml:space="preserve">, </w:t>
      </w:r>
      <w:r>
        <w:rPr>
          <w:bCs/>
          <w:noProof w:val="0"/>
          <w:sz w:val="24"/>
          <w:szCs w:val="24"/>
        </w:rPr>
        <w:t>Japan</w:t>
      </w:r>
      <w:r w:rsidR="00EA61D9" w:rsidRPr="007D1104">
        <w:rPr>
          <w:bCs/>
          <w:noProof w:val="0"/>
          <w:sz w:val="24"/>
          <w:szCs w:val="24"/>
        </w:rPr>
        <w:t>,</w:t>
      </w:r>
      <w:r w:rsidR="00EA61D9">
        <w:rPr>
          <w:bCs/>
          <w:noProof w:val="0"/>
          <w:sz w:val="24"/>
          <w:szCs w:val="24"/>
        </w:rPr>
        <w:t xml:space="preserve"> </w:t>
      </w:r>
      <w:r>
        <w:rPr>
          <w:bCs/>
          <w:noProof w:val="0"/>
          <w:sz w:val="24"/>
          <w:szCs w:val="24"/>
        </w:rPr>
        <w:t>May</w:t>
      </w:r>
      <w:r w:rsidR="00EA61D9">
        <w:rPr>
          <w:bCs/>
          <w:noProof w:val="0"/>
          <w:sz w:val="24"/>
          <w:szCs w:val="24"/>
        </w:rPr>
        <w:t xml:space="preserve"> </w:t>
      </w:r>
      <w:r>
        <w:rPr>
          <w:bCs/>
          <w:noProof w:val="0"/>
          <w:sz w:val="24"/>
          <w:szCs w:val="24"/>
        </w:rPr>
        <w:t>20</w:t>
      </w:r>
      <w:r w:rsidR="00EA61D9">
        <w:rPr>
          <w:bCs/>
          <w:noProof w:val="0"/>
          <w:sz w:val="24"/>
          <w:szCs w:val="24"/>
        </w:rPr>
        <w:t xml:space="preserve"> – </w:t>
      </w:r>
      <w:r>
        <w:rPr>
          <w:bCs/>
          <w:noProof w:val="0"/>
          <w:sz w:val="24"/>
          <w:szCs w:val="24"/>
        </w:rPr>
        <w:t>24</w:t>
      </w:r>
      <w:r w:rsidR="00EA61D9">
        <w:rPr>
          <w:bCs/>
          <w:noProof w:val="0"/>
          <w:sz w:val="24"/>
          <w:szCs w:val="24"/>
        </w:rPr>
        <w:t>, 2024</w:t>
      </w:r>
      <w:bookmarkEnd w:id="0"/>
    </w:p>
    <w:p w14:paraId="2BC49C60" w14:textId="77777777" w:rsidR="007D1104" w:rsidRDefault="007D1104" w:rsidP="16512788">
      <w:pPr>
        <w:pStyle w:val="CRCoverPage"/>
        <w:rPr>
          <w:rFonts w:cs="Arial"/>
          <w:b/>
          <w:bCs/>
          <w:sz w:val="24"/>
          <w:szCs w:val="24"/>
        </w:rPr>
      </w:pPr>
    </w:p>
    <w:p w14:paraId="30E02941" w14:textId="1D770DB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B4F75">
        <w:rPr>
          <w:rFonts w:cs="Arial"/>
          <w:b/>
          <w:bCs/>
          <w:sz w:val="24"/>
          <w:szCs w:val="24"/>
        </w:rPr>
        <w:t>10</w:t>
      </w:r>
      <w:r w:rsidR="003876CF">
        <w:rPr>
          <w:rFonts w:cs="Arial"/>
          <w:b/>
          <w:bCs/>
          <w:sz w:val="24"/>
          <w:szCs w:val="24"/>
        </w:rPr>
        <w:t>.12.</w:t>
      </w:r>
      <w:r w:rsidR="00175FC8">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B54F399"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SBFD 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0D4600D4" w14:textId="77777777" w:rsidR="00CE125F" w:rsidRDefault="00CE125F" w:rsidP="00CE125F">
      <w:r>
        <w:t>A Way Forward was agreed in RAN4#110bis [1] regarding evolution of NR duplex operation. The following agreements were made:</w:t>
      </w:r>
    </w:p>
    <w:p w14:paraId="519A81C8" w14:textId="77777777" w:rsidR="00CE125F" w:rsidRPr="00536A2D" w:rsidRDefault="00CE125F" w:rsidP="00CE125F">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4</w:t>
      </w:r>
      <w:r w:rsidRPr="00536A2D">
        <w:rPr>
          <w:sz w:val="20"/>
          <w:szCs w:val="10"/>
          <w:lang w:val="en-US"/>
        </w:rPr>
        <w:t xml:space="preserve">-1: </w:t>
      </w:r>
      <w:r>
        <w:rPr>
          <w:sz w:val="20"/>
          <w:szCs w:val="10"/>
          <w:lang w:val="en-US"/>
        </w:rPr>
        <w:t>SBFD frequency-domain configuration in RAN4 specification</w:t>
      </w:r>
    </w:p>
    <w:p w14:paraId="2F71BB69" w14:textId="77777777" w:rsidR="00CE125F" w:rsidRPr="00F279E0" w:rsidRDefault="00CE125F" w:rsidP="00CE125F">
      <w:pPr>
        <w:pStyle w:val="ListParagraph"/>
        <w:numPr>
          <w:ilvl w:val="0"/>
          <w:numId w:val="19"/>
        </w:numPr>
        <w:spacing w:after="120" w:line="259" w:lineRule="auto"/>
        <w:contextualSpacing w:val="0"/>
        <w:rPr>
          <w:highlight w:val="green"/>
          <w:lang w:val="en-US"/>
        </w:rPr>
      </w:pPr>
      <w:r w:rsidRPr="00F279E0">
        <w:rPr>
          <w:highlight w:val="green"/>
          <w:lang w:val="en-US"/>
        </w:rPr>
        <w:t xml:space="preserve">Agreement: </w:t>
      </w:r>
    </w:p>
    <w:p w14:paraId="392F783F" w14:textId="77777777" w:rsidR="00CE125F" w:rsidRPr="00244231" w:rsidRDefault="00CE125F" w:rsidP="00CE125F">
      <w:pPr>
        <w:pStyle w:val="ListParagraph"/>
        <w:numPr>
          <w:ilvl w:val="1"/>
          <w:numId w:val="19"/>
        </w:numPr>
        <w:overflowPunct w:val="0"/>
        <w:autoSpaceDE w:val="0"/>
        <w:autoSpaceDN w:val="0"/>
        <w:adjustRightInd w:val="0"/>
        <w:spacing w:after="180"/>
        <w:contextualSpacing w:val="0"/>
        <w:textAlignment w:val="baseline"/>
        <w:rPr>
          <w:highlight w:val="green"/>
          <w:lang w:val="en-US"/>
        </w:rPr>
      </w:pPr>
      <w:r w:rsidRPr="00244231">
        <w:rPr>
          <w:highlight w:val="green"/>
          <w:lang w:val="en-US"/>
        </w:rPr>
        <w:t xml:space="preserve">It is within RAN4 scope to study/specify the limitation or restriction on the size of </w:t>
      </w:r>
      <w:proofErr w:type="spellStart"/>
      <w:r w:rsidRPr="00244231">
        <w:rPr>
          <w:highlight w:val="green"/>
          <w:lang w:val="en-US"/>
        </w:rPr>
        <w:t>subband</w:t>
      </w:r>
      <w:proofErr w:type="spellEnd"/>
      <w:r w:rsidRPr="00244231">
        <w:rPr>
          <w:highlight w:val="green"/>
          <w:lang w:val="en-US"/>
        </w:rPr>
        <w:t>/</w:t>
      </w:r>
      <w:proofErr w:type="spellStart"/>
      <w:r w:rsidRPr="00244231">
        <w:rPr>
          <w:highlight w:val="green"/>
          <w:lang w:val="en-US"/>
        </w:rPr>
        <w:t>guardband</w:t>
      </w:r>
      <w:proofErr w:type="spellEnd"/>
      <w:r w:rsidRPr="00244231">
        <w:rPr>
          <w:highlight w:val="green"/>
          <w:lang w:val="en-US"/>
        </w:rPr>
        <w:t>, by taking account different feasible BS/UE implementations.</w:t>
      </w:r>
    </w:p>
    <w:p w14:paraId="6D24DF34" w14:textId="77777777" w:rsidR="00CE125F" w:rsidRPr="00F279E0" w:rsidRDefault="00CE125F" w:rsidP="00CE125F">
      <w:pPr>
        <w:pStyle w:val="ListParagraph"/>
        <w:numPr>
          <w:ilvl w:val="2"/>
          <w:numId w:val="19"/>
        </w:numPr>
        <w:spacing w:after="120" w:line="259" w:lineRule="auto"/>
        <w:contextualSpacing w:val="0"/>
        <w:rPr>
          <w:highlight w:val="green"/>
          <w:lang w:val="en-US"/>
        </w:rPr>
      </w:pPr>
      <w:r w:rsidRPr="00F279E0">
        <w:rPr>
          <w:highlight w:val="green"/>
          <w:lang w:val="en-US"/>
        </w:rPr>
        <w:t xml:space="preserve">FFS how RAN4 specification captures the </w:t>
      </w:r>
      <w:proofErr w:type="spellStart"/>
      <w:r w:rsidRPr="00244231">
        <w:rPr>
          <w:highlight w:val="green"/>
          <w:lang w:val="en-US"/>
        </w:rPr>
        <w:t>subband</w:t>
      </w:r>
      <w:proofErr w:type="spellEnd"/>
      <w:r w:rsidRPr="00244231">
        <w:rPr>
          <w:highlight w:val="green"/>
          <w:lang w:val="en-US"/>
        </w:rPr>
        <w:t xml:space="preserve"> </w:t>
      </w:r>
      <w:proofErr w:type="gramStart"/>
      <w:r w:rsidRPr="00244231">
        <w:rPr>
          <w:highlight w:val="green"/>
          <w:lang w:val="en-US"/>
        </w:rPr>
        <w:t>configurations</w:t>
      </w:r>
      <w:proofErr w:type="gramEnd"/>
      <w:r w:rsidRPr="00244231">
        <w:rPr>
          <w:highlight w:val="green"/>
          <w:lang w:val="en-US"/>
        </w:rPr>
        <w:t xml:space="preserve"> </w:t>
      </w:r>
    </w:p>
    <w:p w14:paraId="3A93B152" w14:textId="77777777" w:rsidR="00CE125F" w:rsidRPr="00F279E0" w:rsidRDefault="00CE125F" w:rsidP="00CE125F">
      <w:pPr>
        <w:pStyle w:val="ListParagraph"/>
        <w:numPr>
          <w:ilvl w:val="2"/>
          <w:numId w:val="19"/>
        </w:numPr>
        <w:spacing w:after="120" w:line="259" w:lineRule="auto"/>
        <w:contextualSpacing w:val="0"/>
        <w:rPr>
          <w:highlight w:val="green"/>
          <w:lang w:val="en-US"/>
        </w:rPr>
      </w:pPr>
      <w:r w:rsidRPr="00F279E0">
        <w:rPr>
          <w:highlight w:val="green"/>
          <w:lang w:val="en-US"/>
        </w:rPr>
        <w:t xml:space="preserve">FFS the necessity of standardize the </w:t>
      </w:r>
      <w:proofErr w:type="spellStart"/>
      <w:proofErr w:type="gramStart"/>
      <w:r w:rsidRPr="00F279E0">
        <w:rPr>
          <w:highlight w:val="green"/>
          <w:lang w:val="en-US"/>
        </w:rPr>
        <w:t>guardband</w:t>
      </w:r>
      <w:proofErr w:type="spellEnd"/>
      <w:r w:rsidRPr="00F279E0">
        <w:rPr>
          <w:highlight w:val="green"/>
          <w:lang w:val="en-US"/>
        </w:rPr>
        <w:t>;</w:t>
      </w:r>
      <w:proofErr w:type="gramEnd"/>
    </w:p>
    <w:p w14:paraId="4F067220" w14:textId="77777777" w:rsidR="00CE125F" w:rsidRPr="00F279E0" w:rsidRDefault="00CE125F" w:rsidP="00CE125F">
      <w:pPr>
        <w:pStyle w:val="ListParagraph"/>
        <w:numPr>
          <w:ilvl w:val="3"/>
          <w:numId w:val="19"/>
        </w:numPr>
        <w:spacing w:after="120" w:line="259" w:lineRule="auto"/>
        <w:contextualSpacing w:val="0"/>
        <w:rPr>
          <w:highlight w:val="green"/>
          <w:lang w:val="en-US"/>
        </w:rPr>
      </w:pPr>
      <w:r w:rsidRPr="00F279E0">
        <w:rPr>
          <w:highlight w:val="green"/>
          <w:lang w:val="en-US"/>
        </w:rPr>
        <w:t xml:space="preserve">If needed, FFS the </w:t>
      </w:r>
      <w:r w:rsidRPr="00244231">
        <w:rPr>
          <w:highlight w:val="green"/>
          <w:lang w:val="en-US"/>
        </w:rPr>
        <w:t xml:space="preserve">sizes of </w:t>
      </w:r>
      <w:proofErr w:type="spellStart"/>
      <w:r w:rsidRPr="00244231">
        <w:rPr>
          <w:highlight w:val="green"/>
          <w:lang w:val="en-US"/>
        </w:rPr>
        <w:t>guardband</w:t>
      </w:r>
      <w:proofErr w:type="spellEnd"/>
      <w:r w:rsidRPr="00244231">
        <w:rPr>
          <w:highlight w:val="green"/>
          <w:lang w:val="en-US"/>
        </w:rPr>
        <w:t xml:space="preserve"> in RAN4 shall be decided. </w:t>
      </w:r>
    </w:p>
    <w:p w14:paraId="45551F93" w14:textId="77777777" w:rsidR="00CE125F" w:rsidRPr="00536A2D" w:rsidRDefault="00CE125F" w:rsidP="00CE125F">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5</w:t>
      </w:r>
      <w:r w:rsidRPr="00536A2D">
        <w:rPr>
          <w:sz w:val="20"/>
          <w:szCs w:val="10"/>
          <w:lang w:val="en-US"/>
        </w:rPr>
        <w:t xml:space="preserve">-1: </w:t>
      </w:r>
      <w:r w:rsidRPr="000860D9">
        <w:rPr>
          <w:sz w:val="20"/>
          <w:szCs w:val="10"/>
          <w:lang w:val="en-US"/>
        </w:rPr>
        <w:t>SBFD operation in BS configured with multi-</w:t>
      </w:r>
      <w:proofErr w:type="gramStart"/>
      <w:r w:rsidRPr="000860D9">
        <w:rPr>
          <w:sz w:val="20"/>
          <w:szCs w:val="10"/>
          <w:lang w:val="en-US"/>
        </w:rPr>
        <w:t>carriers</w:t>
      </w:r>
      <w:proofErr w:type="gramEnd"/>
    </w:p>
    <w:p w14:paraId="6DA91E18" w14:textId="77777777" w:rsidR="00CE125F" w:rsidRPr="00305755" w:rsidRDefault="00CE125F" w:rsidP="00CE125F">
      <w:pPr>
        <w:pStyle w:val="ListParagraph"/>
        <w:numPr>
          <w:ilvl w:val="0"/>
          <w:numId w:val="19"/>
        </w:numPr>
        <w:spacing w:after="120" w:line="259" w:lineRule="auto"/>
        <w:contextualSpacing w:val="0"/>
        <w:rPr>
          <w:highlight w:val="green"/>
          <w:lang w:val="en-US"/>
        </w:rPr>
      </w:pPr>
      <w:r w:rsidRPr="00305755">
        <w:rPr>
          <w:highlight w:val="green"/>
          <w:lang w:val="en-US"/>
        </w:rPr>
        <w:t xml:space="preserve">Agreement: </w:t>
      </w:r>
    </w:p>
    <w:p w14:paraId="0BF47ACE" w14:textId="77777777" w:rsidR="00CE125F" w:rsidRPr="00305755" w:rsidRDefault="00CE125F" w:rsidP="00CE125F">
      <w:pPr>
        <w:pStyle w:val="ListParagraph"/>
        <w:numPr>
          <w:ilvl w:val="1"/>
          <w:numId w:val="19"/>
        </w:numPr>
        <w:spacing w:after="120" w:line="259" w:lineRule="auto"/>
        <w:contextualSpacing w:val="0"/>
        <w:rPr>
          <w:highlight w:val="green"/>
          <w:lang w:val="en-US"/>
        </w:rPr>
      </w:pPr>
      <w:r w:rsidRPr="00305755">
        <w:rPr>
          <w:highlight w:val="green"/>
          <w:lang w:val="en-US"/>
        </w:rPr>
        <w:t xml:space="preserve">Rel-19 requirement shall consider both (1) single carrier operation for SBFD (2) </w:t>
      </w:r>
      <w:r w:rsidRPr="00244231">
        <w:rPr>
          <w:highlight w:val="green"/>
          <w:lang w:val="en-US"/>
        </w:rPr>
        <w:t>SBFD operates in only one BS carrier, and legacy TDD operates in other intra-band BS carrier(s) contiguous or non-contiguous to the SBFD carrier</w:t>
      </w:r>
      <w:r w:rsidRPr="00305755">
        <w:rPr>
          <w:highlight w:val="green"/>
          <w:lang w:val="en-US"/>
        </w:rPr>
        <w:t>.</w:t>
      </w:r>
    </w:p>
    <w:p w14:paraId="3D17DC85" w14:textId="77777777" w:rsidR="00CE125F" w:rsidRPr="00536A2D" w:rsidRDefault="00CE125F" w:rsidP="00CE125F">
      <w:pPr>
        <w:pStyle w:val="Heading4"/>
        <w:numPr>
          <w:ilvl w:val="0"/>
          <w:numId w:val="0"/>
        </w:numPr>
        <w:ind w:left="864" w:hanging="864"/>
        <w:rPr>
          <w:sz w:val="20"/>
          <w:szCs w:val="10"/>
          <w:lang w:val="en-US"/>
        </w:rPr>
      </w:pPr>
      <w:r w:rsidRPr="00536A2D">
        <w:rPr>
          <w:sz w:val="20"/>
          <w:szCs w:val="10"/>
          <w:lang w:val="en-US"/>
        </w:rPr>
        <w:t>Issue 2-</w:t>
      </w:r>
      <w:r>
        <w:rPr>
          <w:sz w:val="20"/>
          <w:szCs w:val="10"/>
          <w:lang w:val="en-US"/>
        </w:rPr>
        <w:t>6</w:t>
      </w:r>
      <w:r w:rsidRPr="00536A2D">
        <w:rPr>
          <w:sz w:val="20"/>
          <w:szCs w:val="10"/>
          <w:lang w:val="en-US"/>
        </w:rPr>
        <w:t xml:space="preserve">-1: </w:t>
      </w:r>
      <w:r w:rsidRPr="00D748CC">
        <w:rPr>
          <w:sz w:val="20"/>
          <w:szCs w:val="10"/>
          <w:lang w:val="en-US"/>
        </w:rPr>
        <w:t>Co-location requirement and reference antenna</w:t>
      </w:r>
    </w:p>
    <w:p w14:paraId="5773B02F" w14:textId="77777777" w:rsidR="00CE125F" w:rsidRPr="008766CD" w:rsidRDefault="00CE125F" w:rsidP="00CE125F">
      <w:pPr>
        <w:pStyle w:val="ListParagraph"/>
        <w:numPr>
          <w:ilvl w:val="0"/>
          <w:numId w:val="19"/>
        </w:numPr>
        <w:spacing w:after="120" w:line="259" w:lineRule="auto"/>
        <w:contextualSpacing w:val="0"/>
        <w:rPr>
          <w:highlight w:val="green"/>
          <w:lang w:val="en-US"/>
        </w:rPr>
      </w:pPr>
      <w:r w:rsidRPr="008766CD">
        <w:rPr>
          <w:highlight w:val="green"/>
          <w:lang w:val="en-US"/>
        </w:rPr>
        <w:t xml:space="preserve">Way forward: </w:t>
      </w:r>
    </w:p>
    <w:p w14:paraId="0C3ADB10" w14:textId="77777777" w:rsidR="00CE125F" w:rsidRPr="008766CD" w:rsidRDefault="00CE125F" w:rsidP="00CE125F">
      <w:pPr>
        <w:pStyle w:val="ListParagraph"/>
        <w:numPr>
          <w:ilvl w:val="1"/>
          <w:numId w:val="19"/>
        </w:numPr>
        <w:spacing w:after="120" w:line="259" w:lineRule="auto"/>
        <w:contextualSpacing w:val="0"/>
        <w:rPr>
          <w:highlight w:val="green"/>
          <w:lang w:val="en-US"/>
        </w:rPr>
      </w:pPr>
      <w:r w:rsidRPr="008766CD">
        <w:rPr>
          <w:highlight w:val="green"/>
          <w:lang w:val="en-US"/>
        </w:rPr>
        <w:t xml:space="preserve">Continue the discussion on TX IMD requirement for SBFD, based on the existing assumption for co-location reference antenna. </w:t>
      </w:r>
    </w:p>
    <w:p w14:paraId="48F29C13" w14:textId="77777777" w:rsidR="00CE125F" w:rsidRPr="008766CD" w:rsidRDefault="00CE125F" w:rsidP="00CE125F">
      <w:pPr>
        <w:pStyle w:val="ListParagraph"/>
        <w:numPr>
          <w:ilvl w:val="2"/>
          <w:numId w:val="19"/>
        </w:numPr>
        <w:spacing w:after="120" w:line="259" w:lineRule="auto"/>
        <w:contextualSpacing w:val="0"/>
        <w:rPr>
          <w:highlight w:val="green"/>
          <w:lang w:val="en-US"/>
        </w:rPr>
      </w:pPr>
      <w:r w:rsidRPr="008766CD">
        <w:rPr>
          <w:highlight w:val="green"/>
          <w:lang w:val="en-US"/>
        </w:rPr>
        <w:t xml:space="preserve">The assumption of co-location reference antenna could be revised based on the outcome from BS RF </w:t>
      </w:r>
      <w:proofErr w:type="spellStart"/>
      <w:r w:rsidRPr="008766CD">
        <w:rPr>
          <w:highlight w:val="green"/>
          <w:lang w:val="en-US"/>
        </w:rPr>
        <w:t>enh</w:t>
      </w:r>
      <w:proofErr w:type="spellEnd"/>
      <w:r w:rsidRPr="008766CD">
        <w:rPr>
          <w:highlight w:val="green"/>
          <w:lang w:val="en-US"/>
        </w:rPr>
        <w:t xml:space="preserve">. WI. </w:t>
      </w:r>
    </w:p>
    <w:p w14:paraId="1E5A65A3" w14:textId="77777777" w:rsidR="00CE125F" w:rsidRPr="00244231" w:rsidRDefault="00CE125F" w:rsidP="00CE125F">
      <w:pPr>
        <w:pStyle w:val="ListParagraph"/>
        <w:numPr>
          <w:ilvl w:val="0"/>
          <w:numId w:val="16"/>
        </w:numPr>
        <w:rPr>
          <w:sz w:val="20"/>
          <w:szCs w:val="20"/>
          <w:lang w:val="en-GB" w:eastAsia="en-US"/>
        </w:rPr>
      </w:pPr>
    </w:p>
    <w:p w14:paraId="0CF9E4CD" w14:textId="77777777" w:rsidR="00CE125F" w:rsidRDefault="00CE125F" w:rsidP="00CE125F">
      <w:pPr>
        <w:rPr>
          <w:lang w:val="en-US" w:eastAsia="ja-JP"/>
        </w:rPr>
      </w:pPr>
      <w:r>
        <w:br/>
        <w:t>The WF also states: “</w:t>
      </w:r>
      <w:r>
        <w:rPr>
          <w:lang w:val="en-US" w:eastAsia="ja-JP"/>
        </w:rPr>
        <w:t>Companies are encouraged to contribute on issues as summarized in the moderator summary [</w:t>
      </w:r>
      <w:r w:rsidRPr="006A47C5">
        <w:rPr>
          <w:lang w:val="en-US" w:eastAsia="ja-JP"/>
        </w:rPr>
        <w:t>R4-2405833</w:t>
      </w:r>
      <w:r>
        <w:rPr>
          <w:lang w:val="en-US" w:eastAsia="ja-JP"/>
        </w:rPr>
        <w:t>].”</w:t>
      </w:r>
    </w:p>
    <w:p w14:paraId="69CB43FE" w14:textId="68054875" w:rsidR="00CE125F" w:rsidRDefault="00CE125F" w:rsidP="00CE125F">
      <w:r>
        <w:t xml:space="preserve">This contribution further elaborates Nokia’s views on the SBFD system parameters at </w:t>
      </w:r>
      <w:proofErr w:type="spellStart"/>
      <w:r>
        <w:t>gNB</w:t>
      </w:r>
      <w:proofErr w:type="spellEnd"/>
      <w:r>
        <w:t>.</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lastRenderedPageBreak/>
        <w:t>Discussion</w:t>
      </w:r>
    </w:p>
    <w:p w14:paraId="5F0DD3F0" w14:textId="77777777" w:rsidR="00F82607" w:rsidRDefault="00F82607" w:rsidP="003B3462">
      <w:pPr>
        <w:pStyle w:val="Heading4"/>
        <w:numPr>
          <w:ilvl w:val="0"/>
          <w:numId w:val="0"/>
        </w:numPr>
        <w:rPr>
          <w:rFonts w:ascii="Times New Roman" w:hAnsi="Times New Roman"/>
          <w:sz w:val="20"/>
        </w:rPr>
      </w:pPr>
    </w:p>
    <w:p w14:paraId="772D0096" w14:textId="727B6660" w:rsidR="003358A7" w:rsidRPr="003358A7" w:rsidRDefault="0049432A" w:rsidP="003358A7">
      <w:pPr>
        <w:pStyle w:val="Heading2"/>
      </w:pPr>
      <w:proofErr w:type="spellStart"/>
      <w:r>
        <w:t>Subband</w:t>
      </w:r>
      <w:proofErr w:type="spellEnd"/>
      <w:r>
        <w:t xml:space="preserve"> configurations and </w:t>
      </w:r>
      <w:proofErr w:type="spellStart"/>
      <w:r>
        <w:t>guardbands</w:t>
      </w:r>
      <w:proofErr w:type="spellEnd"/>
      <w:r>
        <w:t xml:space="preserve"> </w:t>
      </w:r>
    </w:p>
    <w:p w14:paraId="27A32FCE" w14:textId="77777777" w:rsidR="00960988" w:rsidRDefault="00960988" w:rsidP="00960988">
      <w:pPr>
        <w:rPr>
          <w:lang w:val="en-US"/>
        </w:rPr>
      </w:pPr>
    </w:p>
    <w:p w14:paraId="76D17C61" w14:textId="7E29ED02" w:rsidR="000A2A56" w:rsidRDefault="000A2A56" w:rsidP="000A2A56">
      <w:r w:rsidRPr="00E121AC">
        <w:t xml:space="preserve">The </w:t>
      </w:r>
      <w:r>
        <w:t xml:space="preserve">following was agreed in RAN4#110bis: </w:t>
      </w:r>
    </w:p>
    <w:tbl>
      <w:tblPr>
        <w:tblStyle w:val="TableGrid"/>
        <w:tblW w:w="0" w:type="auto"/>
        <w:tblLook w:val="04A0" w:firstRow="1" w:lastRow="0" w:firstColumn="1" w:lastColumn="0" w:noHBand="0" w:noVBand="1"/>
      </w:tblPr>
      <w:tblGrid>
        <w:gridCol w:w="9350"/>
      </w:tblGrid>
      <w:tr w:rsidR="000A2A56" w14:paraId="01587844" w14:textId="77777777" w:rsidTr="00CA3EF4">
        <w:tc>
          <w:tcPr>
            <w:tcW w:w="9350" w:type="dxa"/>
          </w:tcPr>
          <w:p w14:paraId="5D9D7A64" w14:textId="77777777" w:rsidR="000A2A56" w:rsidRPr="000A2A56" w:rsidRDefault="000A2A56" w:rsidP="00CA3EF4">
            <w:pPr>
              <w:pStyle w:val="Heading4"/>
              <w:numPr>
                <w:ilvl w:val="0"/>
                <w:numId w:val="0"/>
              </w:numPr>
              <w:ind w:left="864" w:hanging="864"/>
              <w:rPr>
                <w:sz w:val="20"/>
                <w:lang w:val="en-US"/>
              </w:rPr>
            </w:pPr>
            <w:r w:rsidRPr="000A2A56">
              <w:rPr>
                <w:sz w:val="20"/>
                <w:lang w:val="en-US"/>
              </w:rPr>
              <w:t>Issue 2-4-1: SBFD frequency-domain configuration in RAN4 specification</w:t>
            </w:r>
          </w:p>
          <w:p w14:paraId="7D6D308E" w14:textId="77777777" w:rsidR="000A2A56" w:rsidRPr="000A2A56" w:rsidRDefault="000A2A56" w:rsidP="000A2A56">
            <w:pPr>
              <w:pStyle w:val="ListParagraph"/>
              <w:numPr>
                <w:ilvl w:val="0"/>
                <w:numId w:val="19"/>
              </w:numPr>
              <w:spacing w:before="120" w:after="120" w:line="259" w:lineRule="auto"/>
              <w:contextualSpacing w:val="0"/>
              <w:jc w:val="both"/>
              <w:rPr>
                <w:sz w:val="20"/>
                <w:szCs w:val="20"/>
                <w:highlight w:val="green"/>
                <w:lang w:val="en-US"/>
              </w:rPr>
            </w:pPr>
            <w:r w:rsidRPr="000A2A56">
              <w:rPr>
                <w:sz w:val="20"/>
                <w:szCs w:val="20"/>
                <w:highlight w:val="green"/>
                <w:lang w:val="en-US"/>
              </w:rPr>
              <w:t xml:space="preserve">Agreement: </w:t>
            </w:r>
          </w:p>
          <w:p w14:paraId="60ECBCCF" w14:textId="77777777" w:rsidR="000A2A56" w:rsidRPr="000A2A56" w:rsidRDefault="000A2A56" w:rsidP="000A2A56">
            <w:pPr>
              <w:pStyle w:val="ListParagraph"/>
              <w:numPr>
                <w:ilvl w:val="1"/>
                <w:numId w:val="19"/>
              </w:numPr>
              <w:overflowPunct w:val="0"/>
              <w:autoSpaceDE w:val="0"/>
              <w:autoSpaceDN w:val="0"/>
              <w:adjustRightInd w:val="0"/>
              <w:spacing w:before="120" w:after="180"/>
              <w:contextualSpacing w:val="0"/>
              <w:jc w:val="both"/>
              <w:textAlignment w:val="baseline"/>
              <w:rPr>
                <w:sz w:val="20"/>
                <w:szCs w:val="20"/>
                <w:highlight w:val="green"/>
                <w:lang w:val="en-US"/>
              </w:rPr>
            </w:pPr>
            <w:r w:rsidRPr="000A2A56">
              <w:rPr>
                <w:sz w:val="20"/>
                <w:szCs w:val="20"/>
                <w:highlight w:val="green"/>
                <w:lang w:val="en-US"/>
              </w:rPr>
              <w:t xml:space="preserve">It is within RAN4 scope to study/specify the limitation or restriction on the size of </w:t>
            </w:r>
            <w:proofErr w:type="spellStart"/>
            <w:r w:rsidRPr="000A2A56">
              <w:rPr>
                <w:sz w:val="20"/>
                <w:szCs w:val="20"/>
                <w:highlight w:val="green"/>
                <w:lang w:val="en-US"/>
              </w:rPr>
              <w:t>subband</w:t>
            </w:r>
            <w:proofErr w:type="spellEnd"/>
            <w:r w:rsidRPr="000A2A56">
              <w:rPr>
                <w:sz w:val="20"/>
                <w:szCs w:val="20"/>
                <w:highlight w:val="green"/>
                <w:lang w:val="en-US"/>
              </w:rPr>
              <w:t>/</w:t>
            </w:r>
            <w:proofErr w:type="spellStart"/>
            <w:r w:rsidRPr="000A2A56">
              <w:rPr>
                <w:sz w:val="20"/>
                <w:szCs w:val="20"/>
                <w:highlight w:val="green"/>
                <w:lang w:val="en-US"/>
              </w:rPr>
              <w:t>guardband</w:t>
            </w:r>
            <w:proofErr w:type="spellEnd"/>
            <w:r w:rsidRPr="000A2A56">
              <w:rPr>
                <w:sz w:val="20"/>
                <w:szCs w:val="20"/>
                <w:highlight w:val="green"/>
                <w:lang w:val="en-US"/>
              </w:rPr>
              <w:t>, by taking account different feasible BS/UE implementations.</w:t>
            </w:r>
          </w:p>
          <w:p w14:paraId="75142989" w14:textId="77777777" w:rsidR="000A2A56" w:rsidRPr="000A2A56" w:rsidRDefault="000A2A56" w:rsidP="000A2A56">
            <w:pPr>
              <w:pStyle w:val="ListParagraph"/>
              <w:numPr>
                <w:ilvl w:val="2"/>
                <w:numId w:val="19"/>
              </w:numPr>
              <w:spacing w:before="120" w:after="120" w:line="259" w:lineRule="auto"/>
              <w:contextualSpacing w:val="0"/>
              <w:jc w:val="both"/>
              <w:rPr>
                <w:sz w:val="20"/>
                <w:szCs w:val="20"/>
                <w:highlight w:val="green"/>
                <w:lang w:val="en-US"/>
              </w:rPr>
            </w:pPr>
            <w:r w:rsidRPr="000A2A56">
              <w:rPr>
                <w:sz w:val="20"/>
                <w:szCs w:val="20"/>
                <w:highlight w:val="green"/>
                <w:lang w:val="en-US"/>
              </w:rPr>
              <w:t xml:space="preserve">FFS how RAN4 specification captures the </w:t>
            </w:r>
            <w:proofErr w:type="spellStart"/>
            <w:r w:rsidRPr="000A2A56">
              <w:rPr>
                <w:sz w:val="20"/>
                <w:szCs w:val="20"/>
                <w:highlight w:val="green"/>
                <w:lang w:val="en-US"/>
              </w:rPr>
              <w:t>subband</w:t>
            </w:r>
            <w:proofErr w:type="spellEnd"/>
            <w:r w:rsidRPr="000A2A56">
              <w:rPr>
                <w:sz w:val="20"/>
                <w:szCs w:val="20"/>
                <w:highlight w:val="green"/>
                <w:lang w:val="en-US"/>
              </w:rPr>
              <w:t xml:space="preserve"> </w:t>
            </w:r>
            <w:proofErr w:type="gramStart"/>
            <w:r w:rsidRPr="000A2A56">
              <w:rPr>
                <w:sz w:val="20"/>
                <w:szCs w:val="20"/>
                <w:highlight w:val="green"/>
                <w:lang w:val="en-US"/>
              </w:rPr>
              <w:t>configurations</w:t>
            </w:r>
            <w:proofErr w:type="gramEnd"/>
            <w:r w:rsidRPr="000A2A56">
              <w:rPr>
                <w:sz w:val="20"/>
                <w:szCs w:val="20"/>
                <w:highlight w:val="green"/>
                <w:lang w:val="en-US"/>
              </w:rPr>
              <w:t xml:space="preserve"> </w:t>
            </w:r>
          </w:p>
          <w:p w14:paraId="218A72E5" w14:textId="77777777" w:rsidR="000A2A56" w:rsidRPr="000A2A56" w:rsidRDefault="000A2A56" w:rsidP="000A2A56">
            <w:pPr>
              <w:pStyle w:val="ListParagraph"/>
              <w:numPr>
                <w:ilvl w:val="2"/>
                <w:numId w:val="19"/>
              </w:numPr>
              <w:spacing w:before="120" w:after="120" w:line="259" w:lineRule="auto"/>
              <w:contextualSpacing w:val="0"/>
              <w:jc w:val="both"/>
              <w:rPr>
                <w:sz w:val="20"/>
                <w:szCs w:val="20"/>
                <w:highlight w:val="green"/>
                <w:lang w:val="en-US"/>
              </w:rPr>
            </w:pPr>
            <w:r w:rsidRPr="000A2A56">
              <w:rPr>
                <w:sz w:val="20"/>
                <w:szCs w:val="20"/>
                <w:highlight w:val="green"/>
                <w:lang w:val="en-US"/>
              </w:rPr>
              <w:t xml:space="preserve">FFS the necessity of standardize the </w:t>
            </w:r>
            <w:proofErr w:type="spellStart"/>
            <w:proofErr w:type="gramStart"/>
            <w:r w:rsidRPr="000A2A56">
              <w:rPr>
                <w:sz w:val="20"/>
                <w:szCs w:val="20"/>
                <w:highlight w:val="green"/>
                <w:lang w:val="en-US"/>
              </w:rPr>
              <w:t>guardband</w:t>
            </w:r>
            <w:proofErr w:type="spellEnd"/>
            <w:r w:rsidRPr="000A2A56">
              <w:rPr>
                <w:sz w:val="20"/>
                <w:szCs w:val="20"/>
                <w:highlight w:val="green"/>
                <w:lang w:val="en-US"/>
              </w:rPr>
              <w:t>;</w:t>
            </w:r>
            <w:proofErr w:type="gramEnd"/>
          </w:p>
          <w:p w14:paraId="107F5E7C" w14:textId="7001D969" w:rsidR="000A2A56" w:rsidRPr="000A2A56" w:rsidRDefault="000A2A56" w:rsidP="000A2A56">
            <w:pPr>
              <w:pStyle w:val="ListParagraph"/>
              <w:numPr>
                <w:ilvl w:val="3"/>
                <w:numId w:val="19"/>
              </w:numPr>
              <w:spacing w:before="120" w:after="120" w:line="259" w:lineRule="auto"/>
              <w:contextualSpacing w:val="0"/>
              <w:jc w:val="both"/>
              <w:rPr>
                <w:sz w:val="20"/>
                <w:szCs w:val="20"/>
                <w:highlight w:val="green"/>
                <w:lang w:val="en-US"/>
              </w:rPr>
            </w:pPr>
            <w:r w:rsidRPr="000A2A56">
              <w:rPr>
                <w:sz w:val="20"/>
                <w:szCs w:val="20"/>
                <w:highlight w:val="green"/>
                <w:lang w:val="en-US"/>
              </w:rPr>
              <w:t xml:space="preserve">If needed, FFS the sizes of </w:t>
            </w:r>
            <w:proofErr w:type="spellStart"/>
            <w:r w:rsidRPr="000A2A56">
              <w:rPr>
                <w:sz w:val="20"/>
                <w:szCs w:val="20"/>
                <w:highlight w:val="green"/>
                <w:lang w:val="en-US"/>
              </w:rPr>
              <w:t>guardband</w:t>
            </w:r>
            <w:proofErr w:type="spellEnd"/>
            <w:r w:rsidRPr="000A2A56">
              <w:rPr>
                <w:sz w:val="20"/>
                <w:szCs w:val="20"/>
                <w:highlight w:val="green"/>
                <w:lang w:val="en-US"/>
              </w:rPr>
              <w:t xml:space="preserve"> in RAN4 shall be decided. </w:t>
            </w:r>
          </w:p>
        </w:tc>
      </w:tr>
    </w:tbl>
    <w:p w14:paraId="3A0A8B8A" w14:textId="77777777" w:rsidR="000A2A56" w:rsidRDefault="000A2A56" w:rsidP="000A2A56"/>
    <w:p w14:paraId="419807DF" w14:textId="77777777" w:rsidR="000A2A56" w:rsidRPr="000A2A56" w:rsidRDefault="000A2A56" w:rsidP="000A2A56">
      <w:pPr>
        <w:rPr>
          <w:lang w:val="en-US"/>
        </w:rPr>
      </w:pPr>
      <w:r>
        <w:t xml:space="preserve">As a first step, we think RAN4 should narrow down a list of possible carrier bandwidths where requirements for SBFD operation should be specified. The Release 18 study focused primarily on 100 MHz channel bandwidths for FR1. We think this is a good starting point for defining the R19 requirements, while it can be further studied and discussed whether smaller bandwidths can be supported as well, e.g. down to 50 MHz channels. </w:t>
      </w:r>
    </w:p>
    <w:p w14:paraId="0072DA0C" w14:textId="1CF06592" w:rsidR="000A2A56" w:rsidRPr="005F5163" w:rsidRDefault="00647245" w:rsidP="005F5163">
      <w:pPr>
        <w:pStyle w:val="Proposal"/>
      </w:pPr>
      <w:r>
        <w:t xml:space="preserve"> </w:t>
      </w:r>
      <w:r w:rsidR="000A2A56" w:rsidRPr="000A2A56">
        <w:t>For FR1, RAN</w:t>
      </w:r>
      <w:r w:rsidR="000A2A56" w:rsidRPr="005F5163">
        <w:t xml:space="preserve">4 to prioritize SBFD requirements for BS carrier bandwidths of </w:t>
      </w:r>
      <w:r w:rsidR="000A2A56" w:rsidRPr="000A2A56">
        <w:t xml:space="preserve">100 </w:t>
      </w:r>
      <w:proofErr w:type="spellStart"/>
      <w:r w:rsidR="000A2A56" w:rsidRPr="000A2A56">
        <w:t>MHz</w:t>
      </w:r>
      <w:r w:rsidR="000A2A56" w:rsidRPr="005F5163">
        <w:t>.</w:t>
      </w:r>
      <w:proofErr w:type="spellEnd"/>
    </w:p>
    <w:p w14:paraId="5E7BF22B" w14:textId="17B298A0" w:rsidR="000A2A56" w:rsidRDefault="000A2A56" w:rsidP="000A2A56">
      <w:pPr>
        <w:rPr>
          <w:rFonts w:eastAsia="DengXian"/>
          <w:lang w:eastAsia="zh-CN"/>
        </w:rPr>
      </w:pPr>
      <w:r>
        <w:rPr>
          <w:rFonts w:eastAsia="DengXian"/>
          <w:lang w:eastAsia="zh-CN"/>
        </w:rPr>
        <w:t xml:space="preserve">Next, we discuss the FFS from the agreement above on the size of the </w:t>
      </w:r>
      <w:proofErr w:type="spellStart"/>
      <w:r>
        <w:rPr>
          <w:rFonts w:eastAsia="DengXian"/>
          <w:lang w:eastAsia="zh-CN"/>
        </w:rPr>
        <w:t>subband</w:t>
      </w:r>
      <w:proofErr w:type="spellEnd"/>
      <w:r>
        <w:rPr>
          <w:rFonts w:eastAsia="DengXian"/>
          <w:lang w:eastAsia="zh-CN"/>
        </w:rPr>
        <w:t xml:space="preserve"> and/or </w:t>
      </w:r>
      <w:proofErr w:type="spellStart"/>
      <w:r>
        <w:rPr>
          <w:rFonts w:eastAsia="DengXian"/>
          <w:lang w:eastAsia="zh-CN"/>
        </w:rPr>
        <w:t>guardband</w:t>
      </w:r>
      <w:proofErr w:type="spellEnd"/>
      <w:r>
        <w:rPr>
          <w:rFonts w:eastAsia="DengXian"/>
          <w:lang w:eastAsia="zh-CN"/>
        </w:rPr>
        <w:t xml:space="preserve">. In line with the R18 study, the frequency resources can be split following roughly </w:t>
      </w:r>
      <w:proofErr w:type="gramStart"/>
      <w:r>
        <w:rPr>
          <w:rFonts w:eastAsia="DengXian"/>
          <w:lang w:eastAsia="zh-CN"/>
        </w:rPr>
        <w:t>a</w:t>
      </w:r>
      <w:proofErr w:type="gramEnd"/>
      <w:r>
        <w:rPr>
          <w:rFonts w:eastAsia="DengXian"/>
          <w:lang w:eastAsia="zh-CN"/>
        </w:rPr>
        <w:t xml:space="preserve"> 80:20 ratio between DL and UL as a starting point. This configuration allows to obtain UL coverage and latency benefits without significantly impacting the DL performance. We think it is furthermore convenient that the size of the UL </w:t>
      </w:r>
      <w:proofErr w:type="spellStart"/>
      <w:r>
        <w:rPr>
          <w:rFonts w:eastAsia="DengXian"/>
          <w:lang w:eastAsia="zh-CN"/>
        </w:rPr>
        <w:t>subband</w:t>
      </w:r>
      <w:proofErr w:type="spellEnd"/>
      <w:r>
        <w:rPr>
          <w:rFonts w:eastAsia="DengXian"/>
          <w:lang w:eastAsia="zh-CN"/>
        </w:rPr>
        <w:t xml:space="preserve"> (in number of RBs) is aligned one of the </w:t>
      </w:r>
      <w:r w:rsidRPr="00885121">
        <w:rPr>
          <w:rFonts w:eastAsia="DengXian"/>
          <w:i/>
          <w:iCs/>
          <w:lang w:eastAsia="zh-CN"/>
        </w:rPr>
        <w:t xml:space="preserve">transmission bandwidth </w:t>
      </w:r>
      <w:proofErr w:type="gramStart"/>
      <w:r w:rsidRPr="00885121">
        <w:rPr>
          <w:rFonts w:eastAsia="DengXian"/>
          <w:i/>
          <w:iCs/>
          <w:lang w:eastAsia="zh-CN"/>
        </w:rPr>
        <w:t>configuration</w:t>
      </w:r>
      <w:proofErr w:type="gramEnd"/>
      <w:r>
        <w:rPr>
          <w:rFonts w:eastAsia="DengXian"/>
          <w:lang w:eastAsia="zh-CN"/>
        </w:rPr>
        <w:t xml:space="preserve"> allowed in TS 38.104 specifications. That is, for 30 kHz SCS configuration, there are 273 RBs in the 100 MHz carrier bandwidth where 51 RBs (equivalent to the number of RBs in a 20 MHz carrier) can be dedicated to the UL </w:t>
      </w:r>
      <w:proofErr w:type="spellStart"/>
      <w:r>
        <w:rPr>
          <w:rFonts w:eastAsia="DengXian"/>
          <w:lang w:eastAsia="zh-CN"/>
        </w:rPr>
        <w:t>subband</w:t>
      </w:r>
      <w:proofErr w:type="spellEnd"/>
      <w:r>
        <w:rPr>
          <w:rFonts w:eastAsia="DengXian"/>
          <w:lang w:eastAsia="zh-CN"/>
        </w:rPr>
        <w:t xml:space="preserve">. </w:t>
      </w:r>
    </w:p>
    <w:p w14:paraId="540641E6" w14:textId="4D756330" w:rsidR="000A2A56" w:rsidRPr="005F5163" w:rsidRDefault="00647245" w:rsidP="005F5163">
      <w:pPr>
        <w:pStyle w:val="Proposal"/>
      </w:pPr>
      <w:r>
        <w:t xml:space="preserve"> </w:t>
      </w:r>
      <w:r w:rsidR="000A2A56" w:rsidRPr="000A2A56">
        <w:t xml:space="preserve">For FR1 SBFD requirements, the size of the UL </w:t>
      </w:r>
      <w:proofErr w:type="spellStart"/>
      <w:r w:rsidR="000A2A56" w:rsidRPr="000A2A56">
        <w:t>subband</w:t>
      </w:r>
      <w:proofErr w:type="spellEnd"/>
      <w:r w:rsidR="000A2A56" w:rsidRPr="000A2A56">
        <w:t xml:space="preserve"> is aligned with the </w:t>
      </w:r>
      <w:r w:rsidR="000A2A56" w:rsidRPr="00503038">
        <w:t>transmission bandwidth configuration</w:t>
      </w:r>
      <w:r w:rsidR="000A2A56" w:rsidRPr="000A2A56">
        <w:t>s specified in TS 38.104</w:t>
      </w:r>
      <w:r w:rsidR="000A2A56" w:rsidRPr="005F5163">
        <w:t>. That is 51 RBs for a 20 MHz channel and 30 kHz SCS.</w:t>
      </w:r>
    </w:p>
    <w:p w14:paraId="0F1AEC13" w14:textId="77777777" w:rsidR="000A2A56" w:rsidRDefault="000A2A56" w:rsidP="000A2A56">
      <w:pPr>
        <w:rPr>
          <w:rFonts w:eastAsia="DengXian"/>
          <w:lang w:eastAsia="zh-CN"/>
        </w:rPr>
      </w:pPr>
      <w:r w:rsidRPr="00701B7B">
        <w:rPr>
          <w:rFonts w:eastAsia="DengXian"/>
          <w:lang w:eastAsia="zh-CN"/>
        </w:rPr>
        <w:t>The nex</w:t>
      </w:r>
      <w:r>
        <w:rPr>
          <w:rFonts w:eastAsia="DengXian"/>
          <w:lang w:eastAsia="zh-CN"/>
        </w:rPr>
        <w:t xml:space="preserve">t question is whether </w:t>
      </w:r>
      <w:proofErr w:type="spellStart"/>
      <w:r>
        <w:rPr>
          <w:rFonts w:eastAsia="DengXian"/>
          <w:lang w:eastAsia="zh-CN"/>
        </w:rPr>
        <w:t>guardbands</w:t>
      </w:r>
      <w:proofErr w:type="spellEnd"/>
      <w:r>
        <w:rPr>
          <w:rFonts w:eastAsia="DengXian"/>
          <w:lang w:eastAsia="zh-CN"/>
        </w:rPr>
        <w:t xml:space="preserve"> should be fixed as well. Five resource blocks between UL and each DL </w:t>
      </w:r>
      <w:proofErr w:type="spellStart"/>
      <w:r>
        <w:rPr>
          <w:rFonts w:eastAsia="DengXian"/>
          <w:lang w:eastAsia="zh-CN"/>
        </w:rPr>
        <w:t>subband</w:t>
      </w:r>
      <w:proofErr w:type="spellEnd"/>
      <w:r>
        <w:rPr>
          <w:rFonts w:eastAsia="DengXian"/>
          <w:lang w:eastAsia="zh-CN"/>
        </w:rPr>
        <w:t xml:space="preserve"> was assumed for FR1 30 kHz SCS configuration, which was primarily motivated by the existing minimum </w:t>
      </w:r>
      <w:proofErr w:type="spellStart"/>
      <w:r>
        <w:rPr>
          <w:rFonts w:eastAsia="DengXian"/>
          <w:lang w:eastAsia="zh-CN"/>
        </w:rPr>
        <w:t>guardband</w:t>
      </w:r>
      <w:proofErr w:type="spellEnd"/>
      <w:r>
        <w:rPr>
          <w:rFonts w:eastAsia="DengXian"/>
          <w:lang w:eastAsia="zh-CN"/>
        </w:rPr>
        <w:t xml:space="preserve"> requirements specified in TS 38.104. At least from base station perspective, this requirement can be considered as starting point for the BS RF requirements which leaves 212 remaining RBs for DL in case of DUD configuration (106 RBs in each DL </w:t>
      </w:r>
      <w:proofErr w:type="spellStart"/>
      <w:r>
        <w:rPr>
          <w:rFonts w:eastAsia="DengXian"/>
          <w:lang w:eastAsia="zh-CN"/>
        </w:rPr>
        <w:t>subband</w:t>
      </w:r>
      <w:proofErr w:type="spellEnd"/>
      <w:r>
        <w:rPr>
          <w:rFonts w:eastAsia="DengXian"/>
          <w:lang w:eastAsia="zh-CN"/>
        </w:rPr>
        <w:t xml:space="preserve">), and 217 RBs for DU configuration. These DL </w:t>
      </w:r>
      <w:proofErr w:type="spellStart"/>
      <w:r>
        <w:rPr>
          <w:rFonts w:eastAsia="DengXian"/>
          <w:lang w:eastAsia="zh-CN"/>
        </w:rPr>
        <w:t>subband</w:t>
      </w:r>
      <w:proofErr w:type="spellEnd"/>
      <w:r>
        <w:rPr>
          <w:rFonts w:eastAsia="DengXian"/>
          <w:lang w:eastAsia="zh-CN"/>
        </w:rPr>
        <w:t xml:space="preserve"> sizes are also conveniently aligned with the transmission bandwidth configurations for 40 MHz and 80 MHz channels. The following configurations are therefore proposed as a starting point:</w:t>
      </w:r>
    </w:p>
    <w:p w14:paraId="303D5C7F" w14:textId="2B6AF76A" w:rsidR="00886580" w:rsidRDefault="00647245" w:rsidP="000A2A56">
      <w:pPr>
        <w:pStyle w:val="Proposal"/>
      </w:pPr>
      <w:r>
        <w:t xml:space="preserve"> </w:t>
      </w:r>
      <w:r w:rsidR="000A2A56" w:rsidRPr="000A2A56">
        <w:t xml:space="preserve">For FR1 SBFD requirements, from base station perspective, the following assumptions for </w:t>
      </w:r>
      <w:proofErr w:type="spellStart"/>
      <w:r w:rsidR="000A2A56" w:rsidRPr="000A2A56">
        <w:t>guardbands</w:t>
      </w:r>
      <w:proofErr w:type="spellEnd"/>
      <w:r w:rsidR="000A2A56" w:rsidRPr="000A2A56">
        <w:t xml:space="preserve"> and UL and DL </w:t>
      </w:r>
      <w:proofErr w:type="spellStart"/>
      <w:r w:rsidR="000A2A56" w:rsidRPr="000A2A56">
        <w:t>subbands</w:t>
      </w:r>
      <w:proofErr w:type="spellEnd"/>
      <w:r w:rsidR="000A2A56" w:rsidRPr="000A2A56">
        <w:t xml:space="preserve"> can be used as starting point:</w:t>
      </w:r>
    </w:p>
    <w:p w14:paraId="60D5D1B3" w14:textId="72A0A6B5" w:rsidR="00886580" w:rsidRPr="00886580" w:rsidRDefault="00886580" w:rsidP="00886580">
      <w:pPr>
        <w:pStyle w:val="ListParagraph"/>
        <w:numPr>
          <w:ilvl w:val="1"/>
          <w:numId w:val="5"/>
        </w:numPr>
        <w:rPr>
          <w:b/>
          <w:bCs/>
          <w:sz w:val="20"/>
          <w:szCs w:val="20"/>
          <w:lang w:val="en-US" w:eastAsia="en-US"/>
        </w:rPr>
      </w:pPr>
      <w:r w:rsidRPr="00886580">
        <w:rPr>
          <w:b/>
          <w:bCs/>
          <w:sz w:val="20"/>
          <w:szCs w:val="20"/>
          <w:lang w:val="en-US" w:eastAsia="en-US"/>
        </w:rPr>
        <w:t>For FR1 DUD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&lt;106, 51, 5&gt;</w:t>
      </w:r>
    </w:p>
    <w:p w14:paraId="5DDFD790" w14:textId="77777777" w:rsidR="00886580" w:rsidRPr="00886580" w:rsidRDefault="00886580" w:rsidP="00886580">
      <w:pPr>
        <w:pStyle w:val="ListParagraph"/>
        <w:numPr>
          <w:ilvl w:val="1"/>
          <w:numId w:val="5"/>
        </w:numPr>
        <w:rPr>
          <w:b/>
          <w:bCs/>
          <w:sz w:val="20"/>
          <w:szCs w:val="20"/>
          <w:lang w:val="en-US" w:eastAsia="en-US"/>
        </w:rPr>
      </w:pPr>
      <w:r w:rsidRPr="00886580">
        <w:rPr>
          <w:b/>
          <w:bCs/>
          <w:sz w:val="20"/>
          <w:szCs w:val="20"/>
          <w:lang w:val="en-US" w:eastAsia="en-US"/>
        </w:rPr>
        <w:t>For FR1 DU or 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&lt;217, 51, 5&gt;</w:t>
      </w:r>
    </w:p>
    <w:p w14:paraId="74E17DB7" w14:textId="77777777" w:rsidR="000A2A56" w:rsidRDefault="000A2A56" w:rsidP="00BD2EC1">
      <w:pPr>
        <w:pStyle w:val="Proposal"/>
        <w:numPr>
          <w:ilvl w:val="0"/>
          <w:numId w:val="0"/>
        </w:numPr>
      </w:pPr>
    </w:p>
    <w:p w14:paraId="25C1FD60" w14:textId="17DDFC87" w:rsidR="00CA5A2C" w:rsidRPr="00CA5A2C" w:rsidRDefault="000A2A56" w:rsidP="00B01EB0">
      <w:r w:rsidRPr="00B01EB0">
        <w:t>On FR2-1</w:t>
      </w:r>
      <w:r w:rsidR="0096755A" w:rsidRPr="00B01EB0">
        <w:t xml:space="preserve">, possible bandwidths are </w:t>
      </w:r>
      <w:r w:rsidR="0096755A" w:rsidRPr="00CA5A2C">
        <w:t>50, 100,</w:t>
      </w:r>
      <w:r w:rsidR="0096755A">
        <w:t xml:space="preserve"> 200, and 400 </w:t>
      </w:r>
      <w:proofErr w:type="spellStart"/>
      <w:r w:rsidR="0096755A">
        <w:t>MHz</w:t>
      </w:r>
      <w:r w:rsidR="00D75A2F">
        <w:t>.</w:t>
      </w:r>
      <w:proofErr w:type="spellEnd"/>
      <w:r w:rsidR="00D75A2F">
        <w:t xml:space="preserve"> We have slight preference for focusing on 100 MHz</w:t>
      </w:r>
      <w:r w:rsidR="00CA5A2C">
        <w:t xml:space="preserve"> and 200MHz</w:t>
      </w:r>
      <w:r w:rsidR="00D75A2F">
        <w:t xml:space="preserve"> channels with 120 kHz SCS. For this case, the SBFD </w:t>
      </w:r>
      <w:proofErr w:type="spellStart"/>
      <w:r w:rsidR="00D75A2F">
        <w:t>subband</w:t>
      </w:r>
      <w:proofErr w:type="spellEnd"/>
      <w:r w:rsidR="00D75A2F">
        <w:t xml:space="preserve"> configuration can follow the assumptions</w:t>
      </w:r>
      <w:r w:rsidR="00CA5A2C">
        <w:t xml:space="preserve"> </w:t>
      </w:r>
      <w:r w:rsidR="00CA5A2C">
        <w:lastRenderedPageBreak/>
        <w:t>agreed by RAN1 in the study item phase, that is</w:t>
      </w:r>
      <w:r w:rsidR="00CA5A2C" w:rsidRPr="00B01EB0">
        <w:rPr>
          <w:lang w:val="en-US" w:eastAsia="zh-CN"/>
        </w:rPr>
        <w:t xml:space="preserve"> </w:t>
      </w:r>
      <w:r w:rsidR="00BD2EC1">
        <w:rPr>
          <w:lang w:val="en-US" w:eastAsia="zh-CN"/>
        </w:rPr>
        <w:t xml:space="preserve">&lt; </w:t>
      </w:r>
      <w:r w:rsidR="00CA5A2C" w:rsidRPr="00B01EB0">
        <w:rPr>
          <w:lang w:val="en-US" w:eastAsia="zh-CN"/>
        </w:rPr>
        <w:t>N</w:t>
      </w:r>
      <w:r w:rsidR="00CA5A2C" w:rsidRPr="00B01EB0">
        <w:rPr>
          <w:vertAlign w:val="subscript"/>
          <w:lang w:val="en-US" w:eastAsia="zh-CN"/>
        </w:rPr>
        <w:t>D</w:t>
      </w:r>
      <w:r w:rsidR="00CA5A2C" w:rsidRPr="00B01EB0">
        <w:rPr>
          <w:lang w:val="en-US" w:eastAsia="zh-CN"/>
        </w:rPr>
        <w:t>, N</w:t>
      </w:r>
      <w:r w:rsidR="00CA5A2C" w:rsidRPr="00B01EB0">
        <w:rPr>
          <w:vertAlign w:val="subscript"/>
          <w:lang w:val="en-US" w:eastAsia="zh-CN"/>
        </w:rPr>
        <w:t>U</w:t>
      </w:r>
      <w:r w:rsidR="00CA5A2C" w:rsidRPr="00B01EB0">
        <w:rPr>
          <w:lang w:val="en-US" w:eastAsia="zh-CN"/>
        </w:rPr>
        <w:t>,</w:t>
      </w:r>
      <w:r w:rsidR="00CA5A2C" w:rsidRPr="00B01EB0">
        <w:rPr>
          <w:vertAlign w:val="subscript"/>
          <w:lang w:val="en-US" w:eastAsia="zh-CN"/>
        </w:rPr>
        <w:t xml:space="preserve"> </w:t>
      </w:r>
      <w:r w:rsidR="00CA5A2C" w:rsidRPr="00B01EB0">
        <w:rPr>
          <w:lang w:val="en-US" w:eastAsia="zh-CN"/>
        </w:rPr>
        <w:t>N</w:t>
      </w:r>
      <w:r w:rsidR="00CA5A2C" w:rsidRPr="00B01EB0">
        <w:rPr>
          <w:vertAlign w:val="subscript"/>
          <w:lang w:val="en-US" w:eastAsia="zh-CN"/>
        </w:rPr>
        <w:t>G</w:t>
      </w:r>
      <w:r w:rsidR="00CA5A2C" w:rsidRPr="00B01EB0">
        <w:rPr>
          <w:lang w:val="en-US" w:eastAsia="zh-CN"/>
        </w:rPr>
        <w:t xml:space="preserve"> &gt; = &lt;25, 14, 1&gt; and &lt; N</w:t>
      </w:r>
      <w:r w:rsidR="00CA5A2C" w:rsidRPr="00B01EB0">
        <w:rPr>
          <w:vertAlign w:val="subscript"/>
          <w:lang w:val="en-US" w:eastAsia="zh-CN"/>
        </w:rPr>
        <w:t>D</w:t>
      </w:r>
      <w:r w:rsidR="00CA5A2C" w:rsidRPr="00B01EB0">
        <w:rPr>
          <w:lang w:val="en-US" w:eastAsia="zh-CN"/>
        </w:rPr>
        <w:t>, N</w:t>
      </w:r>
      <w:r w:rsidR="00CA5A2C" w:rsidRPr="00B01EB0">
        <w:rPr>
          <w:vertAlign w:val="subscript"/>
          <w:lang w:val="en-US" w:eastAsia="zh-CN"/>
        </w:rPr>
        <w:t>U</w:t>
      </w:r>
      <w:r w:rsidR="00CA5A2C" w:rsidRPr="00B01EB0">
        <w:rPr>
          <w:lang w:val="en-US" w:eastAsia="zh-CN"/>
        </w:rPr>
        <w:t>,</w:t>
      </w:r>
      <w:r w:rsidR="00CA5A2C" w:rsidRPr="00B01EB0">
        <w:rPr>
          <w:vertAlign w:val="subscript"/>
          <w:lang w:val="en-US" w:eastAsia="zh-CN"/>
        </w:rPr>
        <w:t xml:space="preserve"> </w:t>
      </w:r>
      <w:r w:rsidR="00CA5A2C" w:rsidRPr="00B01EB0">
        <w:rPr>
          <w:lang w:val="en-US" w:eastAsia="zh-CN"/>
        </w:rPr>
        <w:t>N</w:t>
      </w:r>
      <w:r w:rsidR="00CA5A2C" w:rsidRPr="00B01EB0">
        <w:rPr>
          <w:vertAlign w:val="subscript"/>
          <w:lang w:val="en-US" w:eastAsia="zh-CN"/>
        </w:rPr>
        <w:t>G</w:t>
      </w:r>
      <w:r w:rsidR="00CA5A2C" w:rsidRPr="00B01EB0">
        <w:rPr>
          <w:lang w:val="en-US" w:eastAsia="zh-CN"/>
        </w:rPr>
        <w:t xml:space="preserve"> &gt; = &lt;52, 26, 1&gt;</w:t>
      </w:r>
      <w:r w:rsidR="00CA5A2C">
        <w:rPr>
          <w:lang w:val="en-US" w:eastAsia="zh-CN"/>
        </w:rPr>
        <w:t>, respectively</w:t>
      </w:r>
    </w:p>
    <w:p w14:paraId="349A7177" w14:textId="41A26238" w:rsidR="00CA5A2C" w:rsidRDefault="00647245" w:rsidP="00B01EB0">
      <w:pPr>
        <w:pStyle w:val="Proposal"/>
      </w:pPr>
      <w:r>
        <w:t xml:space="preserve"> </w:t>
      </w:r>
      <w:r w:rsidR="00CA5A2C" w:rsidRPr="000A2A56">
        <w:t>For FR</w:t>
      </w:r>
      <w:r w:rsidR="00BD2EC1">
        <w:t>2</w:t>
      </w:r>
      <w:r w:rsidR="00CA5A2C" w:rsidRPr="000A2A56">
        <w:t xml:space="preserve"> SBFD requirements, from base station perspective, the following assumptions for </w:t>
      </w:r>
      <w:proofErr w:type="spellStart"/>
      <w:r w:rsidR="00CA5A2C" w:rsidRPr="000A2A56">
        <w:t>guardbands</w:t>
      </w:r>
      <w:proofErr w:type="spellEnd"/>
      <w:r w:rsidR="00CA5A2C" w:rsidRPr="000A2A56">
        <w:t xml:space="preserve"> and UL and DL </w:t>
      </w:r>
      <w:proofErr w:type="spellStart"/>
      <w:r w:rsidR="00CA5A2C" w:rsidRPr="000A2A56">
        <w:t>subbands</w:t>
      </w:r>
      <w:proofErr w:type="spellEnd"/>
      <w:r w:rsidR="00CA5A2C" w:rsidRPr="000A2A56">
        <w:t xml:space="preserve"> can be used as starting point:</w:t>
      </w:r>
    </w:p>
    <w:p w14:paraId="23FFBFBE" w14:textId="3A2D9891" w:rsidR="00CA5A2C" w:rsidRPr="00886580" w:rsidRDefault="00CA5A2C" w:rsidP="00CA5A2C">
      <w:pPr>
        <w:pStyle w:val="ListParagraph"/>
        <w:numPr>
          <w:ilvl w:val="1"/>
          <w:numId w:val="5"/>
        </w:numPr>
        <w:rPr>
          <w:b/>
          <w:bCs/>
          <w:sz w:val="20"/>
          <w:szCs w:val="20"/>
          <w:lang w:val="en-US" w:eastAsia="en-US"/>
        </w:rPr>
      </w:pPr>
      <w:r w:rsidRPr="00886580">
        <w:rPr>
          <w:b/>
          <w:bCs/>
          <w:sz w:val="20"/>
          <w:szCs w:val="20"/>
          <w:lang w:val="en-US" w:eastAsia="en-US"/>
        </w:rPr>
        <w:t>For FR</w:t>
      </w:r>
      <w:r w:rsidR="005351EE">
        <w:rPr>
          <w:b/>
          <w:bCs/>
          <w:sz w:val="20"/>
          <w:szCs w:val="20"/>
          <w:lang w:val="en-US" w:eastAsia="en-US"/>
        </w:rPr>
        <w:t>2</w:t>
      </w:r>
      <w:r w:rsidRPr="00886580">
        <w:rPr>
          <w:b/>
          <w:bCs/>
          <w:sz w:val="20"/>
          <w:szCs w:val="20"/>
          <w:lang w:val="en-US" w:eastAsia="en-US"/>
        </w:rPr>
        <w:t xml:space="preserve"> DUD configuration in 100 MHz channel and </w:t>
      </w:r>
      <w:r w:rsidR="00BD2EC1">
        <w:rPr>
          <w:b/>
          <w:bCs/>
          <w:sz w:val="20"/>
          <w:szCs w:val="20"/>
          <w:lang w:val="en-US" w:eastAsia="en-US"/>
        </w:rPr>
        <w:t>120</w:t>
      </w:r>
      <w:r w:rsidRPr="00886580">
        <w:rPr>
          <w:b/>
          <w:bCs/>
          <w:sz w:val="20"/>
          <w:szCs w:val="20"/>
          <w:lang w:val="en-US" w:eastAsia="en-US"/>
        </w:rPr>
        <w:t xml:space="preserve">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sidR="00BD2EC1">
        <w:rPr>
          <w:b/>
          <w:bCs/>
          <w:sz w:val="20"/>
          <w:szCs w:val="20"/>
          <w:lang w:val="en-US" w:eastAsia="en-US"/>
        </w:rPr>
        <w:t>25</w:t>
      </w:r>
      <w:r w:rsidRPr="00886580">
        <w:rPr>
          <w:b/>
          <w:bCs/>
          <w:sz w:val="20"/>
          <w:szCs w:val="20"/>
          <w:lang w:val="en-US" w:eastAsia="en-US"/>
        </w:rPr>
        <w:t xml:space="preserve">, </w:t>
      </w:r>
      <w:r w:rsidR="00BD2EC1">
        <w:rPr>
          <w:b/>
          <w:bCs/>
          <w:sz w:val="20"/>
          <w:szCs w:val="20"/>
          <w:lang w:val="en-US" w:eastAsia="en-US"/>
        </w:rPr>
        <w:t>14</w:t>
      </w:r>
      <w:r w:rsidRPr="00886580">
        <w:rPr>
          <w:b/>
          <w:bCs/>
          <w:sz w:val="20"/>
          <w:szCs w:val="20"/>
          <w:lang w:val="en-US" w:eastAsia="en-US"/>
        </w:rPr>
        <w:t xml:space="preserve">, </w:t>
      </w:r>
      <w:r w:rsidR="00BD2EC1">
        <w:rPr>
          <w:b/>
          <w:bCs/>
          <w:sz w:val="20"/>
          <w:szCs w:val="20"/>
          <w:lang w:val="en-US" w:eastAsia="en-US"/>
        </w:rPr>
        <w:t>1</w:t>
      </w:r>
      <w:r w:rsidRPr="00886580">
        <w:rPr>
          <w:b/>
          <w:bCs/>
          <w:sz w:val="20"/>
          <w:szCs w:val="20"/>
          <w:lang w:val="en-US" w:eastAsia="en-US"/>
        </w:rPr>
        <w:t>&gt;</w:t>
      </w:r>
    </w:p>
    <w:p w14:paraId="256BA9E0" w14:textId="5584CE74" w:rsidR="00CA5A2C" w:rsidRPr="00886580" w:rsidRDefault="00CA5A2C" w:rsidP="00CA5A2C">
      <w:pPr>
        <w:pStyle w:val="ListParagraph"/>
        <w:numPr>
          <w:ilvl w:val="1"/>
          <w:numId w:val="5"/>
        </w:numPr>
        <w:rPr>
          <w:b/>
          <w:bCs/>
          <w:sz w:val="20"/>
          <w:szCs w:val="20"/>
          <w:lang w:val="en-US" w:eastAsia="en-US"/>
        </w:rPr>
      </w:pPr>
      <w:r w:rsidRPr="00886580">
        <w:rPr>
          <w:b/>
          <w:bCs/>
          <w:sz w:val="20"/>
          <w:szCs w:val="20"/>
          <w:lang w:val="en-US" w:eastAsia="en-US"/>
        </w:rPr>
        <w:t>For FR</w:t>
      </w:r>
      <w:r w:rsidR="005351EE">
        <w:rPr>
          <w:b/>
          <w:bCs/>
          <w:sz w:val="20"/>
          <w:szCs w:val="20"/>
          <w:lang w:val="en-US" w:eastAsia="en-US"/>
        </w:rPr>
        <w:t>2</w:t>
      </w:r>
      <w:r w:rsidRPr="00886580">
        <w:rPr>
          <w:b/>
          <w:bCs/>
          <w:sz w:val="20"/>
          <w:szCs w:val="20"/>
          <w:lang w:val="en-US" w:eastAsia="en-US"/>
        </w:rPr>
        <w:t xml:space="preserve"> </w:t>
      </w:r>
      <w:r w:rsidR="00BD2EC1">
        <w:rPr>
          <w:b/>
          <w:bCs/>
          <w:sz w:val="20"/>
          <w:szCs w:val="20"/>
          <w:lang w:val="en-US" w:eastAsia="en-US"/>
        </w:rPr>
        <w:t>DUD</w:t>
      </w:r>
      <w:r w:rsidRPr="00886580">
        <w:rPr>
          <w:b/>
          <w:bCs/>
          <w:sz w:val="20"/>
          <w:szCs w:val="20"/>
          <w:lang w:val="en-US" w:eastAsia="en-US"/>
        </w:rPr>
        <w:t xml:space="preserve"> configuration in </w:t>
      </w:r>
      <w:r w:rsidR="00BD2EC1">
        <w:rPr>
          <w:b/>
          <w:bCs/>
          <w:sz w:val="20"/>
          <w:szCs w:val="20"/>
          <w:lang w:val="en-US" w:eastAsia="en-US"/>
        </w:rPr>
        <w:t>2</w:t>
      </w:r>
      <w:r w:rsidRPr="00886580">
        <w:rPr>
          <w:b/>
          <w:bCs/>
          <w:sz w:val="20"/>
          <w:szCs w:val="20"/>
          <w:lang w:val="en-US" w:eastAsia="en-US"/>
        </w:rPr>
        <w:t xml:space="preserve">00 MHz channel and </w:t>
      </w:r>
      <w:r w:rsidR="008351EC">
        <w:rPr>
          <w:b/>
          <w:bCs/>
          <w:sz w:val="20"/>
          <w:szCs w:val="20"/>
          <w:lang w:val="en-US" w:eastAsia="en-US"/>
        </w:rPr>
        <w:t>12</w:t>
      </w:r>
      <w:r w:rsidRPr="00886580">
        <w:rPr>
          <w:b/>
          <w:bCs/>
          <w:sz w:val="20"/>
          <w:szCs w:val="20"/>
          <w:lang w:val="en-US" w:eastAsia="en-US"/>
        </w:rPr>
        <w:t>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sidR="00BD2EC1">
        <w:rPr>
          <w:b/>
          <w:bCs/>
          <w:sz w:val="20"/>
          <w:szCs w:val="20"/>
          <w:lang w:val="en-US" w:eastAsia="en-US"/>
        </w:rPr>
        <w:t>52</w:t>
      </w:r>
      <w:r w:rsidRPr="00886580">
        <w:rPr>
          <w:b/>
          <w:bCs/>
          <w:sz w:val="20"/>
          <w:szCs w:val="20"/>
          <w:lang w:val="en-US" w:eastAsia="en-US"/>
        </w:rPr>
        <w:t xml:space="preserve">, </w:t>
      </w:r>
      <w:r w:rsidR="00BD2EC1">
        <w:rPr>
          <w:b/>
          <w:bCs/>
          <w:sz w:val="20"/>
          <w:szCs w:val="20"/>
          <w:lang w:val="en-US" w:eastAsia="en-US"/>
        </w:rPr>
        <w:t>26</w:t>
      </w:r>
      <w:r w:rsidRPr="00886580">
        <w:rPr>
          <w:b/>
          <w:bCs/>
          <w:sz w:val="20"/>
          <w:szCs w:val="20"/>
          <w:lang w:val="en-US" w:eastAsia="en-US"/>
        </w:rPr>
        <w:t xml:space="preserve">, </w:t>
      </w:r>
      <w:r w:rsidR="00BD2EC1">
        <w:rPr>
          <w:b/>
          <w:bCs/>
          <w:sz w:val="20"/>
          <w:szCs w:val="20"/>
          <w:lang w:val="en-US" w:eastAsia="en-US"/>
        </w:rPr>
        <w:t>1</w:t>
      </w:r>
      <w:r w:rsidRPr="00886580">
        <w:rPr>
          <w:b/>
          <w:bCs/>
          <w:sz w:val="20"/>
          <w:szCs w:val="20"/>
          <w:lang w:val="en-US" w:eastAsia="en-US"/>
        </w:rPr>
        <w:t>&gt;</w:t>
      </w:r>
    </w:p>
    <w:p w14:paraId="481C72EA" w14:textId="77777777" w:rsidR="00CA5A2C" w:rsidRPr="00B01EB0" w:rsidRDefault="00CA5A2C" w:rsidP="000A2A56">
      <w:pPr>
        <w:rPr>
          <w:lang w:val="en-US"/>
        </w:rPr>
      </w:pPr>
    </w:p>
    <w:p w14:paraId="635432CF" w14:textId="0A161814" w:rsidR="005F5163" w:rsidRDefault="000A2A56" w:rsidP="005F5163">
      <w:r>
        <w:t xml:space="preserve">Note that </w:t>
      </w:r>
      <w:r w:rsidR="00D66BE1">
        <w:t>the</w:t>
      </w:r>
      <w:r>
        <w:t xml:space="preserve"> requirements </w:t>
      </w:r>
      <w:r w:rsidR="00D66BE1">
        <w:t xml:space="preserve">proposed above </w:t>
      </w:r>
      <w:r>
        <w:t xml:space="preserve">are primarily </w:t>
      </w:r>
      <w:r w:rsidR="00690DAF">
        <w:t>defined</w:t>
      </w:r>
      <w:r>
        <w:t xml:space="preserve"> from base station operation perspective</w:t>
      </w:r>
      <w:r w:rsidR="00662756">
        <w:t xml:space="preserve">. </w:t>
      </w:r>
      <w:r w:rsidR="00D66BE1">
        <w:t xml:space="preserve">On top of that, the </w:t>
      </w:r>
      <w:r w:rsidR="00B76E5A">
        <w:t>performance of legacy and SBFD-aware UEs</w:t>
      </w:r>
      <w:r w:rsidR="00464403">
        <w:t xml:space="preserve"> </w:t>
      </w:r>
      <w:r w:rsidR="00AE56E2">
        <w:t>shall also be accounted when defining the SBFD requirements. Considering different possible UE RF implementations and performance</w:t>
      </w:r>
      <w:r w:rsidR="0096755A">
        <w:t xml:space="preserve"> (e.g. new SBFD-aware UEs may apply digital filter, while legacy UEs may not)</w:t>
      </w:r>
      <w:r w:rsidR="00AE56E2">
        <w:t>, deployment types and cross-link interference conditions</w:t>
      </w:r>
      <w:r w:rsidR="00002C4F">
        <w:t xml:space="preserve"> in SBFD deployments, our preference is not to standardize </w:t>
      </w:r>
      <w:r w:rsidR="00B32122">
        <w:t>a fixed value for</w:t>
      </w:r>
      <w:r w:rsidR="00002C4F">
        <w:t xml:space="preserve"> </w:t>
      </w:r>
      <w:proofErr w:type="spellStart"/>
      <w:r w:rsidR="00002C4F">
        <w:t>guardbands</w:t>
      </w:r>
      <w:proofErr w:type="spellEnd"/>
      <w:r w:rsidR="00690DAF">
        <w:t xml:space="preserve"> but instead </w:t>
      </w:r>
      <w:r w:rsidR="002F4109">
        <w:t xml:space="preserve">have one or more ‘typical’ values </w:t>
      </w:r>
      <w:r w:rsidR="004A4F8D">
        <w:t xml:space="preserve">for which requirements are defined, while the </w:t>
      </w:r>
      <w:proofErr w:type="spellStart"/>
      <w:r w:rsidR="004A4F8D">
        <w:t>gNB</w:t>
      </w:r>
      <w:proofErr w:type="spellEnd"/>
      <w:r w:rsidR="004A4F8D">
        <w:t xml:space="preserve"> </w:t>
      </w:r>
      <w:r w:rsidR="00642329">
        <w:t>should</w:t>
      </w:r>
      <w:r w:rsidR="004A4F8D">
        <w:t xml:space="preserve"> still have the possibility </w:t>
      </w:r>
      <w:r w:rsidR="00642329">
        <w:t>to</w:t>
      </w:r>
      <w:r w:rsidR="004A4F8D">
        <w:t xml:space="preserve"> operate with a different </w:t>
      </w:r>
      <w:r w:rsidR="0096755A">
        <w:t xml:space="preserve">(e.g. larger) </w:t>
      </w:r>
      <w:proofErr w:type="spellStart"/>
      <w:r w:rsidR="004A4F8D">
        <w:t>guardband</w:t>
      </w:r>
      <w:proofErr w:type="spellEnd"/>
      <w:r w:rsidR="004A4F8D">
        <w:t xml:space="preserve"> </w:t>
      </w:r>
      <w:r w:rsidR="005F5163">
        <w:t>for which requirements have not been specified.</w:t>
      </w:r>
      <w:r w:rsidR="0096755A">
        <w:t xml:space="preserve"> </w:t>
      </w:r>
    </w:p>
    <w:p w14:paraId="5DB69CBE" w14:textId="0D9EC77A" w:rsidR="005F5163" w:rsidRPr="003E4E9C" w:rsidRDefault="00647245" w:rsidP="00B01EB0">
      <w:pPr>
        <w:pStyle w:val="Proposal"/>
      </w:pPr>
      <w:r>
        <w:t xml:space="preserve"> </w:t>
      </w:r>
      <w:r w:rsidR="00716FAF" w:rsidRPr="003E4E9C">
        <w:t xml:space="preserve">The value of </w:t>
      </w:r>
      <w:proofErr w:type="spellStart"/>
      <w:r w:rsidR="00716FAF" w:rsidRPr="003E4E9C">
        <w:t>guardbands</w:t>
      </w:r>
      <w:proofErr w:type="spellEnd"/>
      <w:r w:rsidR="00716FAF" w:rsidRPr="003E4E9C">
        <w:t xml:space="preserve">, DL and UL </w:t>
      </w:r>
      <w:proofErr w:type="spellStart"/>
      <w:r w:rsidR="00716FAF" w:rsidRPr="003E4E9C">
        <w:t>subbands</w:t>
      </w:r>
      <w:proofErr w:type="spellEnd"/>
      <w:r w:rsidR="00716FAF" w:rsidRPr="003E4E9C">
        <w:t xml:space="preserve"> are not fixed in the specifications. RAN4 may agree one or more ‘typical’ values for which requirements are defined, while the </w:t>
      </w:r>
      <w:proofErr w:type="spellStart"/>
      <w:r w:rsidR="00716FAF" w:rsidRPr="003E4E9C">
        <w:t>gNB</w:t>
      </w:r>
      <w:proofErr w:type="spellEnd"/>
      <w:r w:rsidR="00716FAF" w:rsidRPr="003E4E9C">
        <w:t xml:space="preserve"> should still have the possibility to operate with a different (e.g. larger) </w:t>
      </w:r>
      <w:proofErr w:type="spellStart"/>
      <w:r w:rsidR="00716FAF" w:rsidRPr="003E4E9C">
        <w:t>guardband</w:t>
      </w:r>
      <w:proofErr w:type="spellEnd"/>
      <w:r w:rsidR="00716FAF" w:rsidRPr="003E4E9C">
        <w:t xml:space="preserve"> and UL and DL </w:t>
      </w:r>
      <w:proofErr w:type="spellStart"/>
      <w:r w:rsidR="00716FAF" w:rsidRPr="003E4E9C">
        <w:t>subband</w:t>
      </w:r>
      <w:proofErr w:type="spellEnd"/>
      <w:r w:rsidR="00716FAF" w:rsidRPr="003E4E9C">
        <w:t xml:space="preserve"> sizes.</w:t>
      </w:r>
    </w:p>
    <w:p w14:paraId="473345C6" w14:textId="6804E062" w:rsidR="00BA2AD8" w:rsidRPr="00A4385D" w:rsidRDefault="00BA2AD8" w:rsidP="00910E64">
      <w:pPr>
        <w:pStyle w:val="Caption"/>
        <w:keepNext/>
        <w:rPr>
          <w:lang w:val="en-US"/>
        </w:rPr>
      </w:pPr>
      <w:bookmarkStart w:id="3" w:name="OLE_LINK5"/>
      <w:bookmarkStart w:id="4" w:name="_Hlk118714984"/>
    </w:p>
    <w:p w14:paraId="069DE8F5" w14:textId="77777777" w:rsidR="00BA2AD8" w:rsidRPr="00BA2AD8" w:rsidRDefault="00BA2AD8" w:rsidP="00BA2AD8">
      <w:pPr>
        <w:pStyle w:val="00BodyText"/>
      </w:pPr>
    </w:p>
    <w:bookmarkEnd w:id="2"/>
    <w:bookmarkEnd w:id="3"/>
    <w:bookmarkEnd w:id="4"/>
    <w:p w14:paraId="10445A01" w14:textId="65BF2491" w:rsidR="00885580" w:rsidRDefault="007820D0" w:rsidP="00885580">
      <w:pPr>
        <w:pStyle w:val="Heading1"/>
      </w:pPr>
      <w:r>
        <w:t>Conclusion</w:t>
      </w:r>
    </w:p>
    <w:p w14:paraId="3D5BC62E" w14:textId="19D41731"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p>
    <w:p w14:paraId="15E98D12" w14:textId="1C70C441" w:rsidR="006C7877" w:rsidRDefault="001D136C" w:rsidP="006C7877">
      <w:pPr>
        <w:pStyle w:val="Proposal"/>
        <w:numPr>
          <w:ilvl w:val="0"/>
          <w:numId w:val="0"/>
        </w:numPr>
        <w:ind w:left="142"/>
      </w:pPr>
      <w:r>
        <w:rPr>
          <w:rStyle w:val="normaltextrun"/>
          <w:color w:val="000000" w:themeColor="text1"/>
        </w:rPr>
        <w:fldChar w:fldCharType="begin"/>
      </w:r>
      <w:r w:rsidRPr="00494166">
        <w:rPr>
          <w:rStyle w:val="normaltextrun"/>
          <w:color w:val="000000" w:themeColor="text1"/>
        </w:rPr>
        <w:instrText xml:space="preserve"> TOC \n \t "Proposal;1;Observation;1" </w:instrText>
      </w:r>
      <w:r>
        <w:rPr>
          <w:rStyle w:val="normaltextrun"/>
          <w:color w:val="000000" w:themeColor="text1"/>
        </w:rPr>
        <w:fldChar w:fldCharType="separate"/>
      </w:r>
      <w:r w:rsidR="00494166" w:rsidRPr="00494166">
        <w:t xml:space="preserve"> </w:t>
      </w:r>
    </w:p>
    <w:p w14:paraId="76A302B6" w14:textId="1F575197" w:rsidR="006C7877" w:rsidRDefault="00647245" w:rsidP="001C4A19">
      <w:pPr>
        <w:pStyle w:val="Proposal"/>
        <w:numPr>
          <w:ilvl w:val="0"/>
          <w:numId w:val="17"/>
        </w:numPr>
      </w:pPr>
      <w:r>
        <w:t xml:space="preserve"> </w:t>
      </w:r>
      <w:r w:rsidR="00B80372" w:rsidRPr="000A2A56">
        <w:t>For FR1, RAN</w:t>
      </w:r>
      <w:r w:rsidR="00B80372" w:rsidRPr="005F5163">
        <w:t xml:space="preserve">4 to prioritize SBFD requirements for BS carrier bandwidths of </w:t>
      </w:r>
      <w:r w:rsidR="00B80372" w:rsidRPr="000A2A56">
        <w:t>100 MHz</w:t>
      </w:r>
      <w:r w:rsidR="00B80372" w:rsidRPr="005F5163">
        <w:t>.</w:t>
      </w:r>
    </w:p>
    <w:p w14:paraId="7B272367" w14:textId="73E1BF28" w:rsidR="000F49E5" w:rsidRDefault="00647245" w:rsidP="000F49E5">
      <w:pPr>
        <w:pStyle w:val="Proposal"/>
        <w:numPr>
          <w:ilvl w:val="0"/>
          <w:numId w:val="17"/>
        </w:numPr>
      </w:pPr>
      <w:r>
        <w:t xml:space="preserve"> </w:t>
      </w:r>
      <w:r w:rsidR="00B80372" w:rsidRPr="000A2A56">
        <w:t xml:space="preserve">For FR1 SBFD requirements, the size of the UL subband is aligned with the </w:t>
      </w:r>
      <w:r w:rsidR="00B80372" w:rsidRPr="00503038">
        <w:t>transmission bandwidth configuration</w:t>
      </w:r>
      <w:r w:rsidR="00B80372" w:rsidRPr="000A2A56">
        <w:t>s specified in TS 38.104</w:t>
      </w:r>
      <w:r w:rsidR="00B80372" w:rsidRPr="005F5163">
        <w:t>. That is 51 RBs for a 20 MHz channel and 30 kHz SCS.</w:t>
      </w:r>
    </w:p>
    <w:p w14:paraId="2DFEFD2F" w14:textId="366F4F4D" w:rsidR="002A5816" w:rsidRDefault="00647245" w:rsidP="002A5816">
      <w:pPr>
        <w:pStyle w:val="Proposal"/>
        <w:numPr>
          <w:ilvl w:val="0"/>
          <w:numId w:val="17"/>
        </w:numPr>
      </w:pPr>
      <w:r>
        <w:t xml:space="preserve"> </w:t>
      </w:r>
      <w:r w:rsidR="002A5816" w:rsidRPr="000A2A56">
        <w:t>For FR1 SBFD requirements, from base station perspective, the following assumptions for guardbands and UL and DL subbands can be used as starting point:</w:t>
      </w:r>
    </w:p>
    <w:p w14:paraId="2A43BB42" w14:textId="55B61C60" w:rsidR="002A5816" w:rsidRDefault="002A5816" w:rsidP="002A5816">
      <w:pPr>
        <w:pStyle w:val="ListParagraph"/>
        <w:numPr>
          <w:ilvl w:val="1"/>
          <w:numId w:val="17"/>
        </w:numPr>
        <w:rPr>
          <w:b/>
          <w:bCs/>
          <w:sz w:val="20"/>
          <w:szCs w:val="20"/>
          <w:lang w:val="en-US" w:eastAsia="en-US"/>
        </w:rPr>
      </w:pPr>
      <w:r w:rsidRPr="00886580">
        <w:rPr>
          <w:b/>
          <w:bCs/>
          <w:sz w:val="20"/>
          <w:szCs w:val="20"/>
          <w:lang w:val="en-US" w:eastAsia="en-US"/>
        </w:rPr>
        <w:t>For FR1 DUD configuration in 100 MHz channel and 30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&lt;106, 51, 5&gt;</w:t>
      </w:r>
    </w:p>
    <w:p w14:paraId="18260168" w14:textId="651C6645" w:rsidR="002A5816" w:rsidRPr="00886580" w:rsidRDefault="002A5816" w:rsidP="002A5816">
      <w:pPr>
        <w:pStyle w:val="ListParagraph"/>
        <w:numPr>
          <w:ilvl w:val="1"/>
          <w:numId w:val="17"/>
        </w:numPr>
        <w:rPr>
          <w:b/>
          <w:bCs/>
          <w:sz w:val="20"/>
          <w:szCs w:val="20"/>
          <w:lang w:val="en-US" w:eastAsia="en-US"/>
        </w:rPr>
      </w:pPr>
      <w:r w:rsidRPr="002A5816">
        <w:rPr>
          <w:b/>
          <w:bCs/>
          <w:sz w:val="20"/>
          <w:szCs w:val="20"/>
          <w:lang w:val="en-US" w:eastAsia="en-US"/>
        </w:rPr>
        <w:t>For FR1 DU or UD configuration in 100 MHz channel and 30 kHz SCS: &lt; ND, NU, NG &gt; = &lt;217, 51, 5</w:t>
      </w:r>
    </w:p>
    <w:p w14:paraId="4114841B" w14:textId="67421ADB" w:rsidR="0018023C" w:rsidRDefault="00647245" w:rsidP="0018023C">
      <w:pPr>
        <w:pStyle w:val="Proposal"/>
        <w:numPr>
          <w:ilvl w:val="0"/>
          <w:numId w:val="17"/>
        </w:numPr>
      </w:pPr>
      <w:r>
        <w:t xml:space="preserve"> </w:t>
      </w:r>
      <w:r w:rsidR="0018023C" w:rsidRPr="000A2A56">
        <w:t>For FR</w:t>
      </w:r>
      <w:r w:rsidR="0018023C">
        <w:t>2</w:t>
      </w:r>
      <w:r w:rsidR="0018023C" w:rsidRPr="000A2A56">
        <w:t xml:space="preserve"> SBFD requirements, from base station perspective, the following assumptions for guardbands and UL and DL subbands can be used as starting point:</w:t>
      </w:r>
    </w:p>
    <w:p w14:paraId="4B1CD706" w14:textId="77777777" w:rsidR="0018023C" w:rsidRDefault="0018023C" w:rsidP="0018023C">
      <w:pPr>
        <w:pStyle w:val="ListParagraph"/>
        <w:numPr>
          <w:ilvl w:val="1"/>
          <w:numId w:val="17"/>
        </w:numPr>
        <w:rPr>
          <w:b/>
          <w:bCs/>
          <w:sz w:val="20"/>
          <w:szCs w:val="20"/>
          <w:lang w:val="en-US" w:eastAsia="en-US"/>
        </w:rPr>
      </w:pPr>
      <w:r w:rsidRPr="00886580">
        <w:rPr>
          <w:b/>
          <w:bCs/>
          <w:sz w:val="20"/>
          <w:szCs w:val="20"/>
          <w:lang w:val="en-US" w:eastAsia="en-US"/>
        </w:rPr>
        <w:t>For FR</w:t>
      </w:r>
      <w:r>
        <w:rPr>
          <w:b/>
          <w:bCs/>
          <w:sz w:val="20"/>
          <w:szCs w:val="20"/>
          <w:lang w:val="en-US" w:eastAsia="en-US"/>
        </w:rPr>
        <w:t>2</w:t>
      </w:r>
      <w:r w:rsidRPr="00886580">
        <w:rPr>
          <w:b/>
          <w:bCs/>
          <w:sz w:val="20"/>
          <w:szCs w:val="20"/>
          <w:lang w:val="en-US" w:eastAsia="en-US"/>
        </w:rPr>
        <w:t xml:space="preserve"> DUD configuration in 100 MHz channel and </w:t>
      </w:r>
      <w:r>
        <w:rPr>
          <w:b/>
          <w:bCs/>
          <w:sz w:val="20"/>
          <w:szCs w:val="20"/>
          <w:lang w:val="en-US" w:eastAsia="en-US"/>
        </w:rPr>
        <w:t>120</w:t>
      </w:r>
      <w:r w:rsidRPr="00886580">
        <w:rPr>
          <w:b/>
          <w:bCs/>
          <w:sz w:val="20"/>
          <w:szCs w:val="20"/>
          <w:lang w:val="en-US" w:eastAsia="en-US"/>
        </w:rPr>
        <w:t xml:space="preserve"> kHz SCS: &lt; N</w:t>
      </w:r>
      <w:r w:rsidRPr="00800ECB">
        <w:rPr>
          <w:b/>
          <w:bCs/>
          <w:sz w:val="20"/>
          <w:szCs w:val="20"/>
          <w:vertAlign w:val="subscript"/>
          <w:lang w:val="en-US" w:eastAsia="en-US"/>
        </w:rPr>
        <w:t>D</w:t>
      </w:r>
      <w:r w:rsidRPr="00886580">
        <w:rPr>
          <w:b/>
          <w:bCs/>
          <w:sz w:val="20"/>
          <w:szCs w:val="20"/>
          <w:lang w:val="en-US" w:eastAsia="en-US"/>
        </w:rPr>
        <w:t>, N</w:t>
      </w:r>
      <w:r w:rsidRPr="00800ECB">
        <w:rPr>
          <w:b/>
          <w:bCs/>
          <w:sz w:val="20"/>
          <w:szCs w:val="20"/>
          <w:vertAlign w:val="subscript"/>
          <w:lang w:val="en-US" w:eastAsia="en-US"/>
        </w:rPr>
        <w:t>U</w:t>
      </w:r>
      <w:r w:rsidRPr="00886580">
        <w:rPr>
          <w:b/>
          <w:bCs/>
          <w:sz w:val="20"/>
          <w:szCs w:val="20"/>
          <w:lang w:val="en-US" w:eastAsia="en-US"/>
        </w:rPr>
        <w:t>, N</w:t>
      </w:r>
      <w:r w:rsidRPr="00800ECB">
        <w:rPr>
          <w:b/>
          <w:bCs/>
          <w:sz w:val="20"/>
          <w:szCs w:val="20"/>
          <w:vertAlign w:val="subscript"/>
          <w:lang w:val="en-US" w:eastAsia="en-US"/>
        </w:rPr>
        <w:t>G</w:t>
      </w:r>
      <w:r w:rsidRPr="00886580">
        <w:rPr>
          <w:b/>
          <w:bCs/>
          <w:sz w:val="20"/>
          <w:szCs w:val="20"/>
          <w:lang w:val="en-US" w:eastAsia="en-US"/>
        </w:rPr>
        <w:t xml:space="preserve"> &gt; = &lt;</w:t>
      </w:r>
      <w:r>
        <w:rPr>
          <w:b/>
          <w:bCs/>
          <w:sz w:val="20"/>
          <w:szCs w:val="20"/>
          <w:lang w:val="en-US" w:eastAsia="en-US"/>
        </w:rPr>
        <w:t>25</w:t>
      </w:r>
      <w:r w:rsidRPr="00886580">
        <w:rPr>
          <w:b/>
          <w:bCs/>
          <w:sz w:val="20"/>
          <w:szCs w:val="20"/>
          <w:lang w:val="en-US" w:eastAsia="en-US"/>
        </w:rPr>
        <w:t xml:space="preserve">, </w:t>
      </w:r>
      <w:r>
        <w:rPr>
          <w:b/>
          <w:bCs/>
          <w:sz w:val="20"/>
          <w:szCs w:val="20"/>
          <w:lang w:val="en-US" w:eastAsia="en-US"/>
        </w:rPr>
        <w:t>14</w:t>
      </w:r>
      <w:r w:rsidRPr="00886580">
        <w:rPr>
          <w:b/>
          <w:bCs/>
          <w:sz w:val="20"/>
          <w:szCs w:val="20"/>
          <w:lang w:val="en-US" w:eastAsia="en-US"/>
        </w:rPr>
        <w:t xml:space="preserve">, </w:t>
      </w:r>
      <w:r>
        <w:rPr>
          <w:b/>
          <w:bCs/>
          <w:sz w:val="20"/>
          <w:szCs w:val="20"/>
          <w:lang w:val="en-US" w:eastAsia="en-US"/>
        </w:rPr>
        <w:t>1</w:t>
      </w:r>
      <w:r w:rsidRPr="00886580">
        <w:rPr>
          <w:b/>
          <w:bCs/>
          <w:sz w:val="20"/>
          <w:szCs w:val="20"/>
          <w:lang w:val="en-US" w:eastAsia="en-US"/>
        </w:rPr>
        <w:t>&gt;</w:t>
      </w:r>
    </w:p>
    <w:p w14:paraId="4CAA0564" w14:textId="6C42B1CC" w:rsidR="0018023C" w:rsidRPr="00886580" w:rsidRDefault="0018023C" w:rsidP="0018023C">
      <w:pPr>
        <w:pStyle w:val="ListParagraph"/>
        <w:numPr>
          <w:ilvl w:val="1"/>
          <w:numId w:val="17"/>
        </w:numPr>
        <w:rPr>
          <w:b/>
          <w:bCs/>
          <w:sz w:val="20"/>
          <w:szCs w:val="20"/>
          <w:lang w:val="en-US" w:eastAsia="en-US"/>
        </w:rPr>
      </w:pPr>
      <w:r w:rsidRPr="0018023C">
        <w:rPr>
          <w:b/>
          <w:bCs/>
          <w:sz w:val="20"/>
          <w:szCs w:val="20"/>
          <w:lang w:val="en-US" w:eastAsia="en-US"/>
        </w:rPr>
        <w:t>For FR2 DUD configuration in 200 MHz channel and 120 kHz SCS: &lt; ND, NU, NG &gt; = &lt;52, 26, 1&gt;</w:t>
      </w:r>
    </w:p>
    <w:p w14:paraId="199BCEED" w14:textId="6E0D3440" w:rsidR="00494166" w:rsidRDefault="00647245" w:rsidP="0018023C">
      <w:pPr>
        <w:pStyle w:val="Proposal"/>
        <w:numPr>
          <w:ilvl w:val="0"/>
          <w:numId w:val="17"/>
        </w:numPr>
      </w:pPr>
      <w:r>
        <w:t xml:space="preserve"> </w:t>
      </w:r>
      <w:r w:rsidR="0018023C" w:rsidRPr="003E4E9C">
        <w:t xml:space="preserve">The value of </w:t>
      </w:r>
      <w:proofErr w:type="spellStart"/>
      <w:r w:rsidR="0018023C" w:rsidRPr="003E4E9C">
        <w:t>guardbands</w:t>
      </w:r>
      <w:proofErr w:type="spellEnd"/>
      <w:r w:rsidR="0018023C" w:rsidRPr="003E4E9C">
        <w:t>, DL and UL subbands are not fixed in the specifications. RAN4 may agree one or more ‘typical’ values for which requirements are defined, while the gNB should still have the possibility to operate with a different (e.g. larger) guardband and UL and DL subband sizes.</w:t>
      </w:r>
    </w:p>
    <w:p w14:paraId="4D52801E" w14:textId="20538C4D" w:rsidR="00C77EF6" w:rsidRDefault="00C77EF6" w:rsidP="00B01EB0">
      <w:pPr>
        <w:pStyle w:val="Proposal"/>
        <w:numPr>
          <w:ilvl w:val="0"/>
          <w:numId w:val="0"/>
        </w:numPr>
        <w:ind w:left="502"/>
        <w:rPr>
          <w:rStyle w:val="normaltextrun"/>
        </w:rPr>
      </w:pPr>
    </w:p>
    <w:p w14:paraId="55638916" w14:textId="36593D0F" w:rsidR="00C77EF6" w:rsidRPr="00611F46" w:rsidRDefault="001D136C" w:rsidP="00B01EB0">
      <w:pPr>
        <w:pStyle w:val="Proposal"/>
        <w:numPr>
          <w:ilvl w:val="0"/>
          <w:numId w:val="0"/>
        </w:numPr>
        <w:ind w:left="502" w:hanging="360"/>
      </w:pPr>
      <w:r>
        <w:rPr>
          <w:rStyle w:val="normaltextrun"/>
          <w:noProof/>
          <w:color w:val="000000" w:themeColor="text1"/>
          <w:sz w:val="22"/>
        </w:rPr>
        <w:fldChar w:fldCharType="end"/>
      </w:r>
    </w:p>
    <w:p w14:paraId="05C855D7" w14:textId="668EEE80" w:rsidR="00696134" w:rsidRPr="00C77EF6" w:rsidRDefault="00696134" w:rsidP="00C77EF6">
      <w:pPr>
        <w:pStyle w:val="Proposal"/>
        <w:numPr>
          <w:ilvl w:val="0"/>
          <w:numId w:val="0"/>
        </w:numPr>
        <w:ind w:left="142"/>
        <w:rPr>
          <w:rStyle w:val="normaltextrun"/>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24AA6932" w14:textId="77777777" w:rsidR="00CE125F" w:rsidRPr="003B3BC6" w:rsidRDefault="00CE125F" w:rsidP="00CE125F">
      <w:pPr>
        <w:pStyle w:val="ListParagraph"/>
        <w:numPr>
          <w:ilvl w:val="0"/>
          <w:numId w:val="4"/>
        </w:numPr>
        <w:jc w:val="both"/>
        <w:rPr>
          <w:sz w:val="20"/>
          <w:szCs w:val="20"/>
          <w:lang w:val="en-US"/>
        </w:rPr>
      </w:pPr>
      <w:r w:rsidRPr="00650113">
        <w:rPr>
          <w:sz w:val="20"/>
          <w:szCs w:val="20"/>
          <w:lang w:val="en-US"/>
        </w:rPr>
        <w:t>R</w:t>
      </w:r>
      <w:r>
        <w:rPr>
          <w:sz w:val="20"/>
          <w:szCs w:val="20"/>
          <w:lang w:val="en-US"/>
        </w:rPr>
        <w:t>4</w:t>
      </w:r>
      <w:r w:rsidRPr="00650113">
        <w:rPr>
          <w:sz w:val="20"/>
          <w:szCs w:val="20"/>
          <w:lang w:val="en-US"/>
        </w:rPr>
        <w:t>-240</w:t>
      </w:r>
      <w:r>
        <w:rPr>
          <w:sz w:val="20"/>
          <w:szCs w:val="20"/>
          <w:lang w:val="en-US"/>
        </w:rPr>
        <w:t>6107 “</w:t>
      </w:r>
      <w:r w:rsidRPr="002C3049">
        <w:rPr>
          <w:sz w:val="20"/>
          <w:szCs w:val="20"/>
          <w:lang w:val="en-US"/>
        </w:rPr>
        <w:t xml:space="preserve">Way Forward for [110bis][313] </w:t>
      </w:r>
      <w:proofErr w:type="spellStart"/>
      <w:r w:rsidRPr="002C3049">
        <w:rPr>
          <w:sz w:val="20"/>
          <w:szCs w:val="20"/>
          <w:lang w:val="en-US"/>
        </w:rPr>
        <w:t>NR_duplex_evo</w:t>
      </w:r>
      <w:proofErr w:type="spellEnd"/>
      <w:r>
        <w:rPr>
          <w:sz w:val="20"/>
          <w:szCs w:val="20"/>
          <w:lang w:val="en-US"/>
        </w:rPr>
        <w:t>”, RAN4#110bis, Changsha, China, 15</w:t>
      </w:r>
      <w:r w:rsidRPr="00244231">
        <w:rPr>
          <w:sz w:val="20"/>
          <w:szCs w:val="20"/>
          <w:vertAlign w:val="superscript"/>
          <w:lang w:val="en-US"/>
        </w:rPr>
        <w:t>th</w:t>
      </w:r>
      <w:r>
        <w:rPr>
          <w:sz w:val="20"/>
          <w:szCs w:val="20"/>
          <w:lang w:val="en-US"/>
        </w:rPr>
        <w:t>-19</w:t>
      </w:r>
      <w:r w:rsidRPr="00244231">
        <w:rPr>
          <w:sz w:val="20"/>
          <w:szCs w:val="20"/>
          <w:vertAlign w:val="superscript"/>
          <w:lang w:val="en-US"/>
        </w:rPr>
        <w:t>th</w:t>
      </w:r>
      <w:r>
        <w:rPr>
          <w:sz w:val="20"/>
          <w:szCs w:val="20"/>
          <w:lang w:val="en-US"/>
        </w:rPr>
        <w:t xml:space="preserve"> </w:t>
      </w:r>
      <w:proofErr w:type="gramStart"/>
      <w:r>
        <w:rPr>
          <w:sz w:val="20"/>
          <w:szCs w:val="20"/>
          <w:lang w:val="en-US"/>
        </w:rPr>
        <w:t>April,</w:t>
      </w:r>
      <w:proofErr w:type="gramEnd"/>
      <w:r>
        <w:rPr>
          <w:sz w:val="20"/>
          <w:szCs w:val="20"/>
          <w:lang w:val="en-US"/>
        </w:rPr>
        <w:t xml:space="preserve"> 2024</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DBBD0" w14:textId="77777777" w:rsidR="00AB1AAA" w:rsidRDefault="00AB1AAA">
      <w:r>
        <w:separator/>
      </w:r>
    </w:p>
  </w:endnote>
  <w:endnote w:type="continuationSeparator" w:id="0">
    <w:p w14:paraId="2871277A" w14:textId="77777777" w:rsidR="00AB1AAA" w:rsidRDefault="00AB1AAA">
      <w:r>
        <w:continuationSeparator/>
      </w:r>
    </w:p>
  </w:endnote>
  <w:endnote w:type="continuationNotice" w:id="1">
    <w:p w14:paraId="749017EA" w14:textId="77777777" w:rsidR="00AB1AAA" w:rsidRDefault="00AB1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F859" w14:textId="77777777" w:rsidR="00AB1AAA" w:rsidRDefault="00AB1AAA">
      <w:r>
        <w:separator/>
      </w:r>
    </w:p>
  </w:footnote>
  <w:footnote w:type="continuationSeparator" w:id="0">
    <w:p w14:paraId="11DCBE34" w14:textId="77777777" w:rsidR="00AB1AAA" w:rsidRDefault="00AB1AAA">
      <w:r>
        <w:continuationSeparator/>
      </w:r>
    </w:p>
  </w:footnote>
  <w:footnote w:type="continuationNotice" w:id="1">
    <w:p w14:paraId="3F30A0CB" w14:textId="77777777" w:rsidR="00AB1AAA" w:rsidRDefault="00AB1A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779450083">
    <w:abstractNumId w:val="9"/>
    <w:lvlOverride w:ilvl="0">
      <w:startOverride w:val="1"/>
    </w:lvlOverride>
  </w:num>
  <w:num w:numId="26" w16cid:durableId="18155482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DA8"/>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D5F"/>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3C"/>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B1"/>
    <w:rsid w:val="001976AA"/>
    <w:rsid w:val="001976AE"/>
    <w:rsid w:val="0019794C"/>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90A"/>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816"/>
    <w:rsid w:val="002A5BCF"/>
    <w:rsid w:val="002A607D"/>
    <w:rsid w:val="002A6484"/>
    <w:rsid w:val="002A666D"/>
    <w:rsid w:val="002A67C4"/>
    <w:rsid w:val="002A6982"/>
    <w:rsid w:val="002A6A06"/>
    <w:rsid w:val="002A6B2E"/>
    <w:rsid w:val="002A6E1A"/>
    <w:rsid w:val="002A74FB"/>
    <w:rsid w:val="002A788A"/>
    <w:rsid w:val="002A7945"/>
    <w:rsid w:val="002A7BAC"/>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738"/>
    <w:rsid w:val="002C2978"/>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1436"/>
    <w:rsid w:val="0030144A"/>
    <w:rsid w:val="00301573"/>
    <w:rsid w:val="0030157C"/>
    <w:rsid w:val="00301813"/>
    <w:rsid w:val="003023F5"/>
    <w:rsid w:val="00302572"/>
    <w:rsid w:val="00302A6E"/>
    <w:rsid w:val="00302A81"/>
    <w:rsid w:val="00302AE8"/>
    <w:rsid w:val="00302B04"/>
    <w:rsid w:val="00302BB1"/>
    <w:rsid w:val="00302C78"/>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64F"/>
    <w:rsid w:val="003E2A2D"/>
    <w:rsid w:val="003E3290"/>
    <w:rsid w:val="003E36BC"/>
    <w:rsid w:val="003E376D"/>
    <w:rsid w:val="003E3B9B"/>
    <w:rsid w:val="003E3E75"/>
    <w:rsid w:val="003E42B0"/>
    <w:rsid w:val="003E42BD"/>
    <w:rsid w:val="003E47D4"/>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8E5"/>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3D6"/>
    <w:rsid w:val="0041371D"/>
    <w:rsid w:val="00413857"/>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812"/>
    <w:rsid w:val="00465B2C"/>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9F"/>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9C6"/>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B0BA7"/>
    <w:rsid w:val="004B0D36"/>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511A"/>
    <w:rsid w:val="004F5154"/>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B71"/>
    <w:rsid w:val="00525DD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37F"/>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120"/>
    <w:rsid w:val="005941EF"/>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6B7"/>
    <w:rsid w:val="0069484B"/>
    <w:rsid w:val="006948EF"/>
    <w:rsid w:val="00694A33"/>
    <w:rsid w:val="00694C5C"/>
    <w:rsid w:val="00694D35"/>
    <w:rsid w:val="00695880"/>
    <w:rsid w:val="0069597A"/>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AF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972"/>
    <w:rsid w:val="007D1F33"/>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3E7"/>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6DE"/>
    <w:rsid w:val="007F5BFA"/>
    <w:rsid w:val="007F6144"/>
    <w:rsid w:val="007F6294"/>
    <w:rsid w:val="007F6955"/>
    <w:rsid w:val="007F6AE2"/>
    <w:rsid w:val="007F6DB4"/>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55"/>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37E7F"/>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81C"/>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9D7"/>
    <w:rsid w:val="009A2A71"/>
    <w:rsid w:val="009A2AD6"/>
    <w:rsid w:val="009A2BB6"/>
    <w:rsid w:val="009A2CB8"/>
    <w:rsid w:val="009A323C"/>
    <w:rsid w:val="009A3789"/>
    <w:rsid w:val="009A3CF4"/>
    <w:rsid w:val="009A3EAE"/>
    <w:rsid w:val="009A45A2"/>
    <w:rsid w:val="009A4729"/>
    <w:rsid w:val="009A538A"/>
    <w:rsid w:val="009A55E5"/>
    <w:rsid w:val="009A5665"/>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D4C"/>
    <w:rsid w:val="009C216B"/>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3F0"/>
    <w:rsid w:val="00AB173D"/>
    <w:rsid w:val="00AB18AC"/>
    <w:rsid w:val="00AB19FF"/>
    <w:rsid w:val="00AB1A0A"/>
    <w:rsid w:val="00AB1AAA"/>
    <w:rsid w:val="00AB1C40"/>
    <w:rsid w:val="00AB1EB7"/>
    <w:rsid w:val="00AB226F"/>
    <w:rsid w:val="00AB25E2"/>
    <w:rsid w:val="00AB2740"/>
    <w:rsid w:val="00AB2A23"/>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F18"/>
    <w:rsid w:val="00AE3F96"/>
    <w:rsid w:val="00AE40CF"/>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B3F"/>
    <w:rsid w:val="00B12F75"/>
    <w:rsid w:val="00B1302D"/>
    <w:rsid w:val="00B130BD"/>
    <w:rsid w:val="00B131AB"/>
    <w:rsid w:val="00B13236"/>
    <w:rsid w:val="00B1330C"/>
    <w:rsid w:val="00B134E6"/>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231"/>
    <w:rsid w:val="00B774F8"/>
    <w:rsid w:val="00B776CD"/>
    <w:rsid w:val="00B77880"/>
    <w:rsid w:val="00B77B84"/>
    <w:rsid w:val="00B77BC9"/>
    <w:rsid w:val="00B8006A"/>
    <w:rsid w:val="00B80372"/>
    <w:rsid w:val="00B803C7"/>
    <w:rsid w:val="00B80AB2"/>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6C6"/>
    <w:rsid w:val="00B929B4"/>
    <w:rsid w:val="00B92C23"/>
    <w:rsid w:val="00B92D25"/>
    <w:rsid w:val="00B93008"/>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A12"/>
    <w:rsid w:val="00C02C30"/>
    <w:rsid w:val="00C02C9E"/>
    <w:rsid w:val="00C03087"/>
    <w:rsid w:val="00C030AC"/>
    <w:rsid w:val="00C032D2"/>
    <w:rsid w:val="00C03301"/>
    <w:rsid w:val="00C03309"/>
    <w:rsid w:val="00C03343"/>
    <w:rsid w:val="00C03783"/>
    <w:rsid w:val="00C037E0"/>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23B"/>
    <w:rsid w:val="00C474D6"/>
    <w:rsid w:val="00C47538"/>
    <w:rsid w:val="00C476F2"/>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25F"/>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2D8A"/>
    <w:rsid w:val="00D9306D"/>
    <w:rsid w:val="00D930E1"/>
    <w:rsid w:val="00D931C3"/>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0C6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4099"/>
    <w:rsid w:val="00EF425B"/>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EE9"/>
    <w:rsid w:val="00F204B9"/>
    <w:rsid w:val="00F2052B"/>
    <w:rsid w:val="00F207DA"/>
    <w:rsid w:val="00F2086A"/>
    <w:rsid w:val="00F20B8C"/>
    <w:rsid w:val="00F20E4C"/>
    <w:rsid w:val="00F211EC"/>
    <w:rsid w:val="00F21C37"/>
    <w:rsid w:val="00F21F0A"/>
    <w:rsid w:val="00F22183"/>
    <w:rsid w:val="00F2221E"/>
    <w:rsid w:val="00F2260F"/>
    <w:rsid w:val="00F2261A"/>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BA"/>
    <w:rsid w:val="00F560FE"/>
    <w:rsid w:val="00F5686A"/>
    <w:rsid w:val="00F56970"/>
    <w:rsid w:val="00F56F29"/>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303"/>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EA44533-6FAC-45DE-852F-02521F55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8A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RBI5PAMIO524-1616901215-21453</_dlc_DocId>
    <_dlc_DocIdUrl xmlns="71c5aaf6-e6ce-465b-b873-5148d2a4c105">
      <Url>https://nokia.sharepoint.com/sites/gxp/_layouts/15/DocIdRedir.aspx?ID=RBI5PAMIO524-1616901215-21453</Url>
      <Description>RBI5PAMIO524-1616901215-21453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80A785AB-D189-409B-90E1-74BD6C924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TotalTime>
  <Pages>4</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7811</CharactersWithSpaces>
  <SharedDoc>false</SharedDoc>
  <HLinks>
    <vt:vector size="24" baseType="variant">
      <vt:variant>
        <vt:i4>5505084</vt:i4>
      </vt:variant>
      <vt:variant>
        <vt:i4>9</vt:i4>
      </vt:variant>
      <vt:variant>
        <vt:i4>0</vt:i4>
      </vt:variant>
      <vt:variant>
        <vt:i4>5</vt:i4>
      </vt:variant>
      <vt:variant>
        <vt:lpwstr>mailto:roberto.1.maldonado@nokia.com</vt:lpwstr>
      </vt:variant>
      <vt:variant>
        <vt:lpwstr/>
      </vt:variant>
      <vt:variant>
        <vt:i4>8323099</vt:i4>
      </vt:variant>
      <vt:variant>
        <vt:i4>6</vt:i4>
      </vt:variant>
      <vt:variant>
        <vt:i4>0</vt:i4>
      </vt:variant>
      <vt:variant>
        <vt:i4>5</vt:i4>
      </vt:variant>
      <vt:variant>
        <vt:lpwstr>mailto:guillermo.pocovi@nokia.com</vt:lpwstr>
      </vt:variant>
      <vt:variant>
        <vt:lpwstr/>
      </vt:variant>
      <vt:variant>
        <vt:i4>1507364</vt:i4>
      </vt:variant>
      <vt:variant>
        <vt:i4>3</vt:i4>
      </vt:variant>
      <vt:variant>
        <vt:i4>0</vt:i4>
      </vt:variant>
      <vt:variant>
        <vt:i4>5</vt:i4>
      </vt:variant>
      <vt:variant>
        <vt:lpwstr>mailto:veli-matti.holappa@nokia.com</vt:lpwstr>
      </vt:variant>
      <vt:variant>
        <vt:lpwstr/>
      </vt:variant>
      <vt:variant>
        <vt:i4>4194344</vt:i4>
      </vt:variant>
      <vt:variant>
        <vt:i4>0</vt:i4>
      </vt:variant>
      <vt:variant>
        <vt:i4>0</vt:i4>
      </vt:variant>
      <vt:variant>
        <vt:i4>5</vt:i4>
      </vt:variant>
      <vt:variant>
        <vt:lpwstr>mailto:bartlomiej.golebiowski@nokia.com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9</cp:revision>
  <cp:lastPrinted>2016-06-24T03:35:00Z</cp:lastPrinted>
  <dcterms:created xsi:type="dcterms:W3CDTF">2024-05-13T12:38:00Z</dcterms:created>
  <dcterms:modified xsi:type="dcterms:W3CDTF">2024-05-13T15:53:00Z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0fac7b7e-e1f4-4403-a227-acce3e02998e</vt:lpwstr>
  </property>
  <property fmtid="{D5CDD505-2E9C-101B-9397-08002B2CF9AE}" pid="9" name="MediaServiceImageTags">
    <vt:lpwstr/>
  </property>
</Properties>
</file>